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0C" w:rsidRPr="0093050C" w:rsidRDefault="0093050C" w:rsidP="0093050C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  <w:bookmarkStart w:id="0" w:name="_GoBack"/>
      <w:bookmarkEnd w:id="0"/>
    </w:p>
    <w:p w:rsidR="00F1289F" w:rsidRPr="00F1289F" w:rsidRDefault="00F1289F" w:rsidP="00F1289F">
      <w:pPr>
        <w:jc w:val="center"/>
        <w:rPr>
          <w:rFonts w:eastAsia="Times New Roman"/>
          <w:szCs w:val="28"/>
          <w:lang w:eastAsia="ru-RU"/>
        </w:rPr>
      </w:pPr>
      <w:r w:rsidRPr="00F1289F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2A8C6D69" wp14:editId="684E2BE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9F" w:rsidRPr="00F1289F" w:rsidRDefault="00F1289F" w:rsidP="00F1289F">
      <w:pPr>
        <w:jc w:val="center"/>
        <w:rPr>
          <w:rFonts w:eastAsia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F1289F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F1289F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F1289F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1289F" w:rsidRPr="00F1289F" w:rsidRDefault="00F1289F" w:rsidP="00F1289F">
      <w:pPr>
        <w:spacing w:line="100" w:lineRule="atLeast"/>
        <w:ind w:left="-1134" w:right="-1133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F1289F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1289F" w:rsidRPr="00F1289F" w:rsidRDefault="00F1289F" w:rsidP="00F1289F">
      <w:pPr>
        <w:ind w:left="-567"/>
        <w:rPr>
          <w:rFonts w:eastAsia="Times New Roman"/>
          <w:szCs w:val="28"/>
          <w:lang w:eastAsia="ru-RU"/>
        </w:rPr>
      </w:pPr>
    </w:p>
    <w:p w:rsidR="00F1289F" w:rsidRPr="00F1289F" w:rsidRDefault="00F1289F" w:rsidP="00F1289F">
      <w:pPr>
        <w:tabs>
          <w:tab w:val="left" w:pos="9072"/>
        </w:tabs>
        <w:ind w:right="-1133"/>
        <w:rPr>
          <w:rFonts w:eastAsia="Times New Roman"/>
          <w:sz w:val="24"/>
          <w:szCs w:val="24"/>
          <w:lang w:eastAsia="ru-RU"/>
        </w:rPr>
      </w:pPr>
      <w:r w:rsidRPr="00F1289F">
        <w:rPr>
          <w:rFonts w:eastAsia="Times New Roman"/>
          <w:sz w:val="24"/>
          <w:szCs w:val="24"/>
          <w:lang w:eastAsia="ru-RU"/>
        </w:rPr>
        <w:t>29.12.2017                                                                                                                     № 3150-ПА</w:t>
      </w:r>
    </w:p>
    <w:p w:rsidR="00F1289F" w:rsidRPr="00F1289F" w:rsidRDefault="00F1289F" w:rsidP="00F1289F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  <w:r w:rsidRPr="00F1289F">
        <w:rPr>
          <w:rFonts w:eastAsia="Times New Roman"/>
          <w:b/>
          <w:sz w:val="22"/>
          <w:lang w:eastAsia="ru-RU"/>
        </w:rPr>
        <w:t>г. Люберцы</w:t>
      </w:r>
    </w:p>
    <w:p w:rsidR="00F1289F" w:rsidRPr="00F1289F" w:rsidRDefault="00F1289F" w:rsidP="00F1289F">
      <w:pPr>
        <w:ind w:left="-1134" w:right="-1133"/>
        <w:jc w:val="center"/>
        <w:rPr>
          <w:rFonts w:eastAsia="Times New Roman"/>
          <w:b/>
          <w:sz w:val="22"/>
          <w:lang w:eastAsia="ru-RU"/>
        </w:rPr>
      </w:pPr>
    </w:p>
    <w:p w:rsidR="00F1289F" w:rsidRPr="00F1289F" w:rsidRDefault="00F1289F" w:rsidP="00F1289F">
      <w:pPr>
        <w:jc w:val="both"/>
        <w:rPr>
          <w:szCs w:val="28"/>
        </w:rPr>
      </w:pPr>
    </w:p>
    <w:p w:rsidR="00F1289F" w:rsidRPr="00F1289F" w:rsidRDefault="00F1289F" w:rsidP="00F1289F">
      <w:pPr>
        <w:jc w:val="center"/>
        <w:rPr>
          <w:rFonts w:eastAsia="Times New Roman"/>
          <w:b/>
          <w:bCs/>
          <w:color w:val="000000"/>
          <w:spacing w:val="2"/>
          <w:szCs w:val="28"/>
          <w:lang w:eastAsia="ru-RU"/>
        </w:rPr>
      </w:pPr>
      <w:r w:rsidRPr="00F1289F">
        <w:rPr>
          <w:rFonts w:eastAsia="Times New Roman"/>
          <w:b/>
          <w:bCs/>
          <w:color w:val="000000"/>
          <w:spacing w:val="2"/>
          <w:szCs w:val="28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F1289F" w:rsidRPr="00F1289F" w:rsidRDefault="00F1289F" w:rsidP="00F1289F">
      <w:pPr>
        <w:ind w:firstLine="709"/>
        <w:jc w:val="both"/>
        <w:rPr>
          <w:szCs w:val="28"/>
        </w:rPr>
      </w:pPr>
    </w:p>
    <w:p w:rsidR="00F1289F" w:rsidRPr="00F1289F" w:rsidRDefault="00F1289F" w:rsidP="00F1289F">
      <w:pPr>
        <w:ind w:firstLine="709"/>
        <w:jc w:val="both"/>
        <w:rPr>
          <w:szCs w:val="28"/>
        </w:rPr>
      </w:pPr>
      <w:proofErr w:type="gramStart"/>
      <w:r w:rsidRPr="00F1289F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 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F1289F">
        <w:rPr>
          <w:szCs w:val="28"/>
        </w:rPr>
        <w:t xml:space="preserve"> области от 21.06.2017 № 2-РГ «О наделении полномочиями заместителя Главы администрации </w:t>
      </w:r>
      <w:proofErr w:type="spellStart"/>
      <w:r w:rsidRPr="00F1289F">
        <w:rPr>
          <w:szCs w:val="28"/>
        </w:rPr>
        <w:t>Сырова</w:t>
      </w:r>
      <w:proofErr w:type="spellEnd"/>
      <w:r w:rsidRPr="00F1289F">
        <w:rPr>
          <w:szCs w:val="28"/>
        </w:rPr>
        <w:t xml:space="preserve"> Андрея Николаевича», Решением  комиссии по признанию имущества объектом, имеющим признаки бесхозяйного имущества от 08.12.2017, постановляю:    </w:t>
      </w:r>
    </w:p>
    <w:p w:rsidR="004F4EBA" w:rsidRDefault="004F4EBA" w:rsidP="004F4EBA">
      <w:pPr>
        <w:ind w:firstLine="709"/>
        <w:jc w:val="both"/>
        <w:rPr>
          <w:szCs w:val="28"/>
        </w:rPr>
      </w:pP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>1. Комитету по управлению имуществом: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ab/>
        <w:t>1.1. Включить объекты недвижимого имущества в реестр объектов,  имеющих признаки бесхозяйного имущества, согласно Приложениям № 1 и 2                              к настоящему Постановлению.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ab/>
        <w:t xml:space="preserve"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</w:t>
      </w:r>
      <w:proofErr w:type="spellStart"/>
      <w:r w:rsidRPr="00F1289F">
        <w:rPr>
          <w:szCs w:val="28"/>
        </w:rPr>
        <w:t>п.п</w:t>
      </w:r>
      <w:proofErr w:type="spellEnd"/>
      <w:r w:rsidRPr="00F1289F">
        <w:rPr>
          <w:szCs w:val="28"/>
        </w:rPr>
        <w:t>. 1.1 п. 1 настоящего Постановления, на учет, как бесхозяйного.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lastRenderedPageBreak/>
        <w:tab/>
        <w:t>2. АО «Люберецкий Водоканал» осуществлять содержание и техническое обслуживание недвижимого имущества (объект водоотведения), указанного в Приложении №1 к настоящему Постановлению, до признания права муниципальной собственности на них. Содержание и техническое обслуживание объектов не влечет для АО «Люберецкий Водоканал» осуществления прав владения, пользования и распоряжения указанными объектами.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ab/>
        <w:t xml:space="preserve">3. </w:t>
      </w:r>
      <w:proofErr w:type="gramStart"/>
      <w:r w:rsidRPr="00F1289F">
        <w:rPr>
          <w:szCs w:val="28"/>
        </w:rPr>
        <w:t>Управлению жилищно-коммунального хозяйства администрации городского округа Люберцы Московской области (Бодров А.Ю.), Управлению дорожного хозяйства администрации городского округа Люберцы Московской области (</w:t>
      </w:r>
      <w:proofErr w:type="spellStart"/>
      <w:r w:rsidRPr="00F1289F">
        <w:rPr>
          <w:szCs w:val="28"/>
        </w:rPr>
        <w:t>Бунтин</w:t>
      </w:r>
      <w:proofErr w:type="spellEnd"/>
      <w:r w:rsidRPr="00F1289F">
        <w:rPr>
          <w:szCs w:val="28"/>
        </w:rPr>
        <w:t xml:space="preserve"> Е.В.), Управлению благоустройства администрации городского округа Люберцы Московской области (Зинкина М. В.), в целях предотвращения угрозы разрушения недвижимого имущества, указанного в Приложениях № 2 к настоящему Постановлению, организовать работу по его эксплуатации и дальнейшему содержанию за счет средств</w:t>
      </w:r>
      <w:proofErr w:type="gramEnd"/>
      <w:r w:rsidRPr="00F1289F">
        <w:rPr>
          <w:szCs w:val="28"/>
        </w:rPr>
        <w:t xml:space="preserve"> местного бюджета городского округа Люберцы Московской области.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 xml:space="preserve">         4.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  <w:r w:rsidRPr="00F1289F">
        <w:rPr>
          <w:szCs w:val="28"/>
        </w:rPr>
        <w:t xml:space="preserve">          5.  </w:t>
      </w:r>
      <w:proofErr w:type="gramStart"/>
      <w:r w:rsidRPr="00F1289F">
        <w:rPr>
          <w:szCs w:val="28"/>
        </w:rPr>
        <w:t>Контроль за</w:t>
      </w:r>
      <w:proofErr w:type="gramEnd"/>
      <w:r w:rsidRPr="00F1289F">
        <w:rPr>
          <w:szCs w:val="28"/>
        </w:rPr>
        <w:t xml:space="preserve"> исполнением настоящего Постановления возложить на Комитет по управлению имуществом.</w:t>
      </w:r>
    </w:p>
    <w:p w:rsid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</w:p>
    <w:p w:rsidR="00F1289F" w:rsidRPr="00F1289F" w:rsidRDefault="00F1289F" w:rsidP="00F1289F">
      <w:pPr>
        <w:shd w:val="clear" w:color="auto" w:fill="FFFFFF"/>
        <w:tabs>
          <w:tab w:val="left" w:pos="912"/>
        </w:tabs>
        <w:spacing w:line="322" w:lineRule="exact"/>
        <w:jc w:val="both"/>
        <w:rPr>
          <w:szCs w:val="28"/>
        </w:rPr>
      </w:pPr>
    </w:p>
    <w:p w:rsidR="002F030F" w:rsidRPr="002F030F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  <w:r w:rsidRPr="002F030F">
        <w:rPr>
          <w:rFonts w:eastAsia="Times New Roman"/>
          <w:szCs w:val="28"/>
          <w:lang w:eastAsia="ru-RU"/>
        </w:rPr>
        <w:t>Заместитель</w:t>
      </w:r>
      <w:r>
        <w:rPr>
          <w:rFonts w:eastAsia="Times New Roman"/>
          <w:szCs w:val="28"/>
          <w:lang w:eastAsia="ru-RU"/>
        </w:rPr>
        <w:t xml:space="preserve"> Главы</w:t>
      </w:r>
      <w:r w:rsidRPr="002F030F">
        <w:rPr>
          <w:rFonts w:eastAsia="Times New Roman"/>
          <w:szCs w:val="28"/>
          <w:lang w:eastAsia="ru-RU"/>
        </w:rPr>
        <w:t xml:space="preserve"> администрации                                                      А.Н. Сыров</w:t>
      </w:r>
    </w:p>
    <w:p w:rsidR="002F030F" w:rsidRPr="002F030F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szCs w:val="28"/>
          <w:lang w:eastAsia="ru-RU"/>
        </w:rPr>
      </w:pPr>
    </w:p>
    <w:p w:rsidR="002F030F" w:rsidRPr="002F030F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="Times New Roman"/>
          <w:color w:val="000000"/>
          <w:spacing w:val="-2"/>
          <w:szCs w:val="28"/>
          <w:lang w:eastAsia="ru-RU"/>
        </w:rPr>
      </w:pPr>
    </w:p>
    <w:p w:rsidR="007A3F05" w:rsidRDefault="004B712E" w:rsidP="007A3F05">
      <w:pPr>
        <w:jc w:val="center"/>
        <w:rPr>
          <w:szCs w:val="28"/>
        </w:rPr>
        <w:sectPr w:rsidR="007A3F05" w:rsidSect="0071116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292"/>
        <w:gridCol w:w="6087"/>
        <w:gridCol w:w="4820"/>
      </w:tblGrid>
      <w:tr w:rsidR="00F1289F" w:rsidRPr="00F1289F" w:rsidTr="00F1289F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№1                                                                                                                                                                        </w:t>
            </w:r>
          </w:p>
        </w:tc>
      </w:tr>
      <w:tr w:rsidR="00F1289F" w:rsidRPr="00F1289F" w:rsidTr="00F1289F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городского округа Люберцы Московской области </w:t>
            </w:r>
          </w:p>
        </w:tc>
      </w:tr>
      <w:tr w:rsidR="00F1289F" w:rsidRPr="00F1289F" w:rsidTr="00F1289F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29.12.2017 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3150-ПА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  <w:tr w:rsidR="00F1289F" w:rsidRPr="00F1289F" w:rsidTr="00F1289F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89F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</w:p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89F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F1289F" w:rsidRPr="00F1289F" w:rsidTr="00F1289F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Хозфекальная</w:t>
            </w:r>
            <w:proofErr w:type="spellEnd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канализация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  <w:r w:rsidRPr="00F1289F">
              <w:rPr>
                <w:rFonts w:asciiTheme="minorHAnsi" w:hAnsiTheme="minorHAnsi" w:cstheme="minorBidi"/>
                <w:sz w:val="22"/>
              </w:rPr>
              <w:t xml:space="preserve">, 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Люберцы,  3-е почтовое отделение д. 50, к.1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Протяженность – 339 м</w:t>
            </w:r>
          </w:p>
        </w:tc>
      </w:tr>
    </w:tbl>
    <w:p w:rsidR="00F1289F" w:rsidRPr="00F1289F" w:rsidRDefault="00F1289F" w:rsidP="00F1289F">
      <w:pPr>
        <w:spacing w:after="200" w:line="276" w:lineRule="auto"/>
        <w:rPr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4"/>
        <w:gridCol w:w="417"/>
        <w:gridCol w:w="6379"/>
        <w:gridCol w:w="4111"/>
      </w:tblGrid>
      <w:tr w:rsidR="00F1289F" w:rsidRPr="00F1289F" w:rsidTr="00F1289F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                                                                       </w:t>
            </w:r>
          </w:p>
        </w:tc>
      </w:tr>
      <w:tr w:rsidR="00F1289F" w:rsidRPr="00F1289F" w:rsidTr="00F1289F">
        <w:trPr>
          <w:trHeight w:val="7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городского округа Люберцы Московской области </w:t>
            </w:r>
          </w:p>
        </w:tc>
      </w:tr>
      <w:tr w:rsidR="00F1289F" w:rsidRPr="00F1289F" w:rsidTr="00F1289F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89F" w:rsidRPr="00F1289F" w:rsidRDefault="00F1289F" w:rsidP="00F1289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29.12.2017 №3150-ПА                                                        </w:t>
            </w:r>
          </w:p>
        </w:tc>
      </w:tr>
      <w:tr w:rsidR="00F1289F" w:rsidRPr="00F1289F" w:rsidTr="00F1289F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89F">
              <w:rPr>
                <w:rFonts w:eastAsia="Times New Roman"/>
                <w:color w:val="000000"/>
                <w:szCs w:val="28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</w:t>
            </w:r>
          </w:p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89F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1289F" w:rsidRPr="00F1289F" w:rsidTr="00F1289F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Здание (нежилое)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</w:t>
            </w:r>
            <w:r w:rsidRPr="00F1289F">
              <w:rPr>
                <w:rFonts w:asciiTheme="minorHAnsi" w:hAnsiTheme="minorHAnsi" w:cstheme="minorBidi"/>
                <w:sz w:val="22"/>
              </w:rPr>
              <w:t xml:space="preserve">, 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Люберцы,   по ул. Мира,                          возле д. 11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Одноэтажное, площадь -  25 </w:t>
            </w:r>
            <w:proofErr w:type="spell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Одноэтажное нежилое здание (гаражные боксы)</w:t>
            </w: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Московская область, г. Люберцы,  ул. Авиаторов, между  домами №5 и №7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Одноэтажное, площадь -  63 </w:t>
            </w:r>
            <w:proofErr w:type="spell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Памятник А.С. Пушкину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F1289F">
              <w:rPr>
                <w:sz w:val="24"/>
                <w:szCs w:val="24"/>
              </w:rPr>
              <w:t>Томилино</w:t>
            </w:r>
            <w:proofErr w:type="spellEnd"/>
            <w:r w:rsidRPr="00F1289F">
              <w:rPr>
                <w:sz w:val="24"/>
                <w:szCs w:val="24"/>
              </w:rPr>
              <w:t xml:space="preserve">, пересечение  ул. Жуковского, ул. Пушкина, ул. Никитина 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Площадь -25 </w:t>
            </w:r>
            <w:proofErr w:type="spellStart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Мемориал-памятник рабочим </w:t>
            </w:r>
            <w:proofErr w:type="spellStart"/>
            <w:r w:rsidRPr="00F1289F">
              <w:rPr>
                <w:sz w:val="24"/>
                <w:szCs w:val="24"/>
              </w:rPr>
              <w:t>Томилинской</w:t>
            </w:r>
            <w:proofErr w:type="spellEnd"/>
            <w:r w:rsidRPr="00F1289F">
              <w:rPr>
                <w:sz w:val="24"/>
                <w:szCs w:val="24"/>
              </w:rPr>
              <w:t xml:space="preserve"> птицефабрики, не вернувшимся с полей сражения Великой Отечественной войны 1941-1945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F1289F">
              <w:rPr>
                <w:sz w:val="24"/>
                <w:szCs w:val="24"/>
              </w:rPr>
              <w:t>Томилино</w:t>
            </w:r>
            <w:proofErr w:type="spellEnd"/>
            <w:r w:rsidRPr="00F1289F">
              <w:rPr>
                <w:sz w:val="24"/>
                <w:szCs w:val="24"/>
              </w:rPr>
              <w:t xml:space="preserve">,                               </w:t>
            </w:r>
            <w:proofErr w:type="spellStart"/>
            <w:r w:rsidRPr="00F1289F">
              <w:rPr>
                <w:sz w:val="24"/>
                <w:szCs w:val="24"/>
              </w:rPr>
              <w:t>мкр</w:t>
            </w:r>
            <w:proofErr w:type="spellEnd"/>
            <w:r w:rsidRPr="00F1289F">
              <w:rPr>
                <w:sz w:val="24"/>
                <w:szCs w:val="24"/>
              </w:rPr>
              <w:t xml:space="preserve">. Птицефабрика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Площадь -360 </w:t>
            </w:r>
            <w:proofErr w:type="spellStart"/>
            <w:r w:rsidRPr="00F1289F">
              <w:rPr>
                <w:sz w:val="24"/>
                <w:szCs w:val="24"/>
              </w:rPr>
              <w:t>кв.м</w:t>
            </w:r>
            <w:proofErr w:type="spellEnd"/>
            <w:r w:rsidRPr="00F1289F">
              <w:rPr>
                <w:sz w:val="24"/>
                <w:szCs w:val="24"/>
              </w:rPr>
              <w:t>. Памятник состоит из скульптурной композиции и мемориальной стелы. Площадка-асфальтобетон.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Мемориал-памятник участникам Великой отечественной войны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пос. </w:t>
            </w:r>
            <w:proofErr w:type="spellStart"/>
            <w:r w:rsidRPr="00F1289F">
              <w:rPr>
                <w:sz w:val="24"/>
                <w:szCs w:val="24"/>
              </w:rPr>
              <w:t>Томилино</w:t>
            </w:r>
            <w:proofErr w:type="spellEnd"/>
            <w:r w:rsidRPr="00F1289F">
              <w:rPr>
                <w:sz w:val="24"/>
                <w:szCs w:val="24"/>
              </w:rPr>
              <w:t xml:space="preserve"> напротив жилых домов 19 и 20  по ул. Гоголя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Площадь -36 </w:t>
            </w:r>
            <w:proofErr w:type="spellStart"/>
            <w:r w:rsidRPr="00F1289F">
              <w:rPr>
                <w:sz w:val="24"/>
                <w:szCs w:val="24"/>
              </w:rPr>
              <w:t>кв.м</w:t>
            </w:r>
            <w:proofErr w:type="spellEnd"/>
            <w:r w:rsidRPr="00F1289F">
              <w:rPr>
                <w:sz w:val="24"/>
                <w:szCs w:val="24"/>
              </w:rPr>
              <w:t>.  Памятник состоит из Пушки ЗИС-2 и двух мемориальных стел. Площадка-асфальтобетон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Московская область, г. Люберцы,  3-е почтовое отделение, к ПГСК «Агат»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Протяженность - 121 м, ширина- 5м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</w:t>
            </w:r>
            <w:proofErr w:type="spellStart"/>
            <w:r w:rsidRPr="00F1289F">
              <w:rPr>
                <w:sz w:val="24"/>
                <w:szCs w:val="24"/>
              </w:rPr>
              <w:t>г.п</w:t>
            </w:r>
            <w:proofErr w:type="spellEnd"/>
            <w:r w:rsidRPr="00F1289F">
              <w:rPr>
                <w:sz w:val="24"/>
                <w:szCs w:val="24"/>
              </w:rPr>
              <w:t xml:space="preserve">. </w:t>
            </w:r>
            <w:proofErr w:type="spellStart"/>
            <w:r w:rsidRPr="00F1289F">
              <w:rPr>
                <w:sz w:val="24"/>
                <w:szCs w:val="24"/>
              </w:rPr>
              <w:t>Красково</w:t>
            </w:r>
            <w:proofErr w:type="spellEnd"/>
            <w:r w:rsidRPr="00F1289F">
              <w:rPr>
                <w:sz w:val="24"/>
                <w:szCs w:val="24"/>
              </w:rPr>
              <w:t>,  к СНТ «</w:t>
            </w:r>
            <w:proofErr w:type="spellStart"/>
            <w:r w:rsidRPr="00F1289F">
              <w:rPr>
                <w:sz w:val="24"/>
                <w:szCs w:val="24"/>
              </w:rPr>
              <w:t>Пехорка</w:t>
            </w:r>
            <w:proofErr w:type="spellEnd"/>
            <w:r w:rsidRPr="00F1289F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Протяженность – 85 м, ширина- 5 м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</w:t>
            </w:r>
            <w:proofErr w:type="spellStart"/>
            <w:r w:rsidRPr="00F1289F">
              <w:rPr>
                <w:sz w:val="24"/>
                <w:szCs w:val="24"/>
              </w:rPr>
              <w:t>г.п</w:t>
            </w:r>
            <w:proofErr w:type="spellEnd"/>
            <w:r w:rsidRPr="00F1289F">
              <w:rPr>
                <w:sz w:val="24"/>
                <w:szCs w:val="24"/>
              </w:rPr>
              <w:t xml:space="preserve">. </w:t>
            </w:r>
            <w:proofErr w:type="spellStart"/>
            <w:r w:rsidRPr="00F1289F">
              <w:rPr>
                <w:sz w:val="24"/>
                <w:szCs w:val="24"/>
              </w:rPr>
              <w:t>Красково</w:t>
            </w:r>
            <w:proofErr w:type="spellEnd"/>
            <w:r w:rsidRPr="00F1289F">
              <w:rPr>
                <w:sz w:val="24"/>
                <w:szCs w:val="24"/>
              </w:rPr>
              <w:t>,                                к СНТ «Пехорка-1»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Протяженность – 100 м, ширина -6 м 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</w:t>
            </w:r>
            <w:proofErr w:type="spellStart"/>
            <w:r w:rsidRPr="00F1289F">
              <w:rPr>
                <w:sz w:val="24"/>
                <w:szCs w:val="24"/>
              </w:rPr>
              <w:t>г.п</w:t>
            </w:r>
            <w:proofErr w:type="spellEnd"/>
            <w:r w:rsidRPr="00F1289F">
              <w:rPr>
                <w:sz w:val="24"/>
                <w:szCs w:val="24"/>
              </w:rPr>
              <w:t xml:space="preserve">. </w:t>
            </w:r>
            <w:proofErr w:type="spellStart"/>
            <w:r w:rsidRPr="00F1289F">
              <w:rPr>
                <w:sz w:val="24"/>
                <w:szCs w:val="24"/>
              </w:rPr>
              <w:t>Красково</w:t>
            </w:r>
            <w:proofErr w:type="spellEnd"/>
            <w:r w:rsidRPr="00F1289F">
              <w:rPr>
                <w:sz w:val="24"/>
                <w:szCs w:val="24"/>
              </w:rPr>
              <w:t xml:space="preserve">,   д. </w:t>
            </w:r>
            <w:proofErr w:type="spellStart"/>
            <w:r w:rsidRPr="00F1289F">
              <w:rPr>
                <w:sz w:val="24"/>
                <w:szCs w:val="24"/>
              </w:rPr>
              <w:t>Мотяково</w:t>
            </w:r>
            <w:proofErr w:type="spellEnd"/>
            <w:r w:rsidRPr="00F128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289F">
              <w:rPr>
                <w:sz w:val="24"/>
                <w:szCs w:val="24"/>
              </w:rPr>
              <w:t>к  СНТ «Ратибор» и ДНП «Елочка»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Протяженность – 717 м, ширина- 5 м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</w:t>
            </w:r>
            <w:proofErr w:type="spellStart"/>
            <w:r w:rsidRPr="00F1289F">
              <w:rPr>
                <w:sz w:val="24"/>
                <w:szCs w:val="24"/>
              </w:rPr>
              <w:t>г.п</w:t>
            </w:r>
            <w:proofErr w:type="spellEnd"/>
            <w:r w:rsidRPr="00F1289F">
              <w:rPr>
                <w:sz w:val="24"/>
                <w:szCs w:val="24"/>
              </w:rPr>
              <w:t xml:space="preserve">. </w:t>
            </w:r>
            <w:proofErr w:type="spellStart"/>
            <w:r w:rsidRPr="00F1289F">
              <w:rPr>
                <w:sz w:val="24"/>
                <w:szCs w:val="24"/>
              </w:rPr>
              <w:t>Красково</w:t>
            </w:r>
            <w:proofErr w:type="spellEnd"/>
            <w:r w:rsidRPr="00F1289F">
              <w:rPr>
                <w:sz w:val="24"/>
                <w:szCs w:val="24"/>
              </w:rPr>
              <w:t>,                             ст. Овражки, к СНТ «Березка»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Протяженность – 65 м, ширина- 5м</w:t>
            </w:r>
          </w:p>
        </w:tc>
      </w:tr>
      <w:tr w:rsidR="00F1289F" w:rsidRPr="00F1289F" w:rsidTr="00F1289F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289F" w:rsidRPr="00F1289F" w:rsidRDefault="00F1289F" w:rsidP="00F128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28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F1289F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F1289F">
              <w:rPr>
                <w:sz w:val="24"/>
                <w:szCs w:val="24"/>
              </w:rPr>
              <w:t>г.о</w:t>
            </w:r>
            <w:proofErr w:type="spellEnd"/>
            <w:r w:rsidRPr="00F1289F">
              <w:rPr>
                <w:sz w:val="24"/>
                <w:szCs w:val="24"/>
              </w:rPr>
              <w:t xml:space="preserve">. Люберцы, г. п. </w:t>
            </w:r>
            <w:proofErr w:type="spellStart"/>
            <w:r w:rsidRPr="00F1289F">
              <w:rPr>
                <w:sz w:val="24"/>
                <w:szCs w:val="24"/>
              </w:rPr>
              <w:t>Томилино</w:t>
            </w:r>
            <w:proofErr w:type="spellEnd"/>
            <w:r w:rsidRPr="00F1289F">
              <w:rPr>
                <w:sz w:val="24"/>
                <w:szCs w:val="24"/>
              </w:rPr>
              <w:t>,                           ул. Гаршина до д.9/1 (общежитие)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89F" w:rsidRPr="00F1289F" w:rsidRDefault="00F1289F" w:rsidP="00F1289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1289F">
              <w:rPr>
                <w:sz w:val="24"/>
                <w:szCs w:val="24"/>
              </w:rPr>
              <w:t>Протяженность – 620 м, ширина-8 м</w:t>
            </w:r>
          </w:p>
        </w:tc>
      </w:tr>
    </w:tbl>
    <w:p w:rsidR="003060A2" w:rsidRDefault="003060A2" w:rsidP="00F1289F">
      <w:pPr>
        <w:ind w:left="-284"/>
      </w:pPr>
    </w:p>
    <w:sectPr w:rsidR="003060A2" w:rsidSect="007A3F05">
      <w:pgSz w:w="16838" w:h="11906" w:orient="landscape"/>
      <w:pgMar w:top="1418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4608C"/>
    <w:rsid w:val="0007184C"/>
    <w:rsid w:val="000C77E6"/>
    <w:rsid w:val="00103622"/>
    <w:rsid w:val="00110422"/>
    <w:rsid w:val="0011618A"/>
    <w:rsid w:val="00126DFD"/>
    <w:rsid w:val="0018301E"/>
    <w:rsid w:val="00187210"/>
    <w:rsid w:val="001B5B3B"/>
    <w:rsid w:val="001F587A"/>
    <w:rsid w:val="0021720D"/>
    <w:rsid w:val="002359B1"/>
    <w:rsid w:val="0029184A"/>
    <w:rsid w:val="002E15B6"/>
    <w:rsid w:val="002E58CF"/>
    <w:rsid w:val="002F030F"/>
    <w:rsid w:val="003060A2"/>
    <w:rsid w:val="003249C0"/>
    <w:rsid w:val="00335AF4"/>
    <w:rsid w:val="00373D0F"/>
    <w:rsid w:val="00374149"/>
    <w:rsid w:val="003972DC"/>
    <w:rsid w:val="003A5070"/>
    <w:rsid w:val="003D7729"/>
    <w:rsid w:val="003F3C72"/>
    <w:rsid w:val="00434E85"/>
    <w:rsid w:val="00454776"/>
    <w:rsid w:val="00464112"/>
    <w:rsid w:val="004830C7"/>
    <w:rsid w:val="004B712E"/>
    <w:rsid w:val="004F24B0"/>
    <w:rsid w:val="004F4EBA"/>
    <w:rsid w:val="005229BF"/>
    <w:rsid w:val="005362B7"/>
    <w:rsid w:val="00546B33"/>
    <w:rsid w:val="005A3EF9"/>
    <w:rsid w:val="005B584D"/>
    <w:rsid w:val="005B627E"/>
    <w:rsid w:val="005B6979"/>
    <w:rsid w:val="005C6869"/>
    <w:rsid w:val="005D2974"/>
    <w:rsid w:val="005D37FD"/>
    <w:rsid w:val="005D4126"/>
    <w:rsid w:val="005E74ED"/>
    <w:rsid w:val="006276F6"/>
    <w:rsid w:val="00656A6A"/>
    <w:rsid w:val="00672F34"/>
    <w:rsid w:val="00691F8A"/>
    <w:rsid w:val="006961E4"/>
    <w:rsid w:val="0070448D"/>
    <w:rsid w:val="00711168"/>
    <w:rsid w:val="00736655"/>
    <w:rsid w:val="007366B9"/>
    <w:rsid w:val="007A3F05"/>
    <w:rsid w:val="007C387C"/>
    <w:rsid w:val="007E46F1"/>
    <w:rsid w:val="00806E06"/>
    <w:rsid w:val="00813249"/>
    <w:rsid w:val="00815F37"/>
    <w:rsid w:val="00825428"/>
    <w:rsid w:val="008273E0"/>
    <w:rsid w:val="008A242E"/>
    <w:rsid w:val="008B0133"/>
    <w:rsid w:val="008C22CE"/>
    <w:rsid w:val="008D7AA3"/>
    <w:rsid w:val="009047E4"/>
    <w:rsid w:val="0093050C"/>
    <w:rsid w:val="00A03EBF"/>
    <w:rsid w:val="00A07CB4"/>
    <w:rsid w:val="00A3271C"/>
    <w:rsid w:val="00A44F58"/>
    <w:rsid w:val="00A53B90"/>
    <w:rsid w:val="00A73830"/>
    <w:rsid w:val="00AA16CD"/>
    <w:rsid w:val="00AE35AA"/>
    <w:rsid w:val="00B14180"/>
    <w:rsid w:val="00B52CAD"/>
    <w:rsid w:val="00B82D44"/>
    <w:rsid w:val="00BB6898"/>
    <w:rsid w:val="00C534F2"/>
    <w:rsid w:val="00C9111B"/>
    <w:rsid w:val="00CB091D"/>
    <w:rsid w:val="00CC22C1"/>
    <w:rsid w:val="00CC45A8"/>
    <w:rsid w:val="00CE2EE9"/>
    <w:rsid w:val="00D00387"/>
    <w:rsid w:val="00D23730"/>
    <w:rsid w:val="00D42753"/>
    <w:rsid w:val="00D47931"/>
    <w:rsid w:val="00E26A23"/>
    <w:rsid w:val="00E95F51"/>
    <w:rsid w:val="00EC0B87"/>
    <w:rsid w:val="00EC7B10"/>
    <w:rsid w:val="00ED6E22"/>
    <w:rsid w:val="00EE600C"/>
    <w:rsid w:val="00EE6FF6"/>
    <w:rsid w:val="00EF6BBF"/>
    <w:rsid w:val="00F04941"/>
    <w:rsid w:val="00F1289F"/>
    <w:rsid w:val="00F15BFC"/>
    <w:rsid w:val="00F755A7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11</cp:lastModifiedBy>
  <cp:revision>2</cp:revision>
  <cp:lastPrinted>2017-08-03T15:34:00Z</cp:lastPrinted>
  <dcterms:created xsi:type="dcterms:W3CDTF">2018-02-21T15:07:00Z</dcterms:created>
  <dcterms:modified xsi:type="dcterms:W3CDTF">2018-02-21T15:07:00Z</dcterms:modified>
</cp:coreProperties>
</file>