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BD" w:rsidRPr="00E12ABD" w:rsidRDefault="00E12ABD" w:rsidP="00E12ABD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B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BD" w:rsidRPr="00E12ABD" w:rsidRDefault="00E12ABD" w:rsidP="00E12ABD">
      <w:pPr>
        <w:ind w:left="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E12ABD" w:rsidRPr="00E12ABD" w:rsidRDefault="00E12ABD" w:rsidP="00E12ABD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E12ABD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E12ABD" w:rsidRPr="00E12ABD" w:rsidRDefault="00E12ABD" w:rsidP="00E12ABD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E12ABD" w:rsidRPr="00E12ABD" w:rsidRDefault="00E12ABD" w:rsidP="00E12ABD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12AB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E12ABD" w:rsidRPr="00E12ABD" w:rsidRDefault="00E12ABD" w:rsidP="00E12ABD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12AB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12ABD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E12AB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E12ABD" w:rsidRPr="00E12ABD" w:rsidRDefault="00E12ABD" w:rsidP="00E12ABD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E12ABD" w:rsidRPr="00E12ABD" w:rsidRDefault="00E12ABD" w:rsidP="00E12ABD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E12ABD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E12ABD" w:rsidRPr="00E12ABD" w:rsidRDefault="00E12ABD" w:rsidP="00E12ABD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D" w:rsidRPr="00E702EA" w:rsidRDefault="00E12ABD" w:rsidP="00E12ABD">
      <w:pPr>
        <w:tabs>
          <w:tab w:val="left" w:pos="9072"/>
        </w:tabs>
        <w:ind w:left="0"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702EA" w:rsidRP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</w:t>
      </w:r>
      <w:r w:rsidRP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80EB6" w:rsidRP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7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966-ПА</w:t>
      </w:r>
    </w:p>
    <w:p w:rsidR="00E12ABD" w:rsidRPr="00E12ABD" w:rsidRDefault="00E12ABD" w:rsidP="00E12ABD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ABD" w:rsidRPr="00E12ABD" w:rsidRDefault="00E12ABD" w:rsidP="00E12ABD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2ABD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8F547D" w:rsidRDefault="008F547D" w:rsidP="008F547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CA145C" w:rsidRDefault="00CA145C" w:rsidP="00880E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880EB6" w:rsidRPr="00880EB6" w:rsidRDefault="00880EB6" w:rsidP="00880E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880EB6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CA145C" w:rsidRDefault="00880EB6" w:rsidP="00880E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880EB6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«</w:t>
      </w:r>
      <w:r w:rsidR="00CA145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Архитектура и градостроительство на территории муниципального образования</w:t>
      </w:r>
      <w:r w:rsidRPr="00880EB6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городско</w:t>
      </w:r>
      <w:r w:rsidR="00CA145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й округ</w:t>
      </w:r>
      <w:r w:rsidRPr="00880EB6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Люберцы Московской области»</w:t>
      </w:r>
      <w:r w:rsidR="00CA145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30793" w:rsidRPr="008E7FD9" w:rsidRDefault="00CA145C" w:rsidP="00880E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на 2018-2022 годы</w:t>
      </w:r>
    </w:p>
    <w:p w:rsidR="008E5A95" w:rsidRPr="008F547D" w:rsidRDefault="008E5A95" w:rsidP="008F547D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7D" w:rsidRDefault="008E7FD9" w:rsidP="008E5A9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F547D" w:rsidRPr="008F54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Люберцы,</w:t>
      </w:r>
      <w:r w:rsid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8C5B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реализации»,</w:t>
      </w:r>
      <w:r w:rsidR="008F547D" w:rsidRPr="008F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Главы городского округа Люберцы от 21.06.2017 № 1-РГ </w:t>
      </w:r>
      <w:r w:rsid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F547D" w:rsidRPr="008F54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полномочиями Первого заместителя Главы администрации»</w:t>
      </w:r>
      <w:r w:rsidR="008C5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547D" w:rsidRPr="008F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CA145C" w:rsidRDefault="00CA145C" w:rsidP="008E5A9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5C" w:rsidRPr="00CA145C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муниципальную программу городского округа Люберцы Московской области «Архитектура и градостроительство на территории муниципального образования городской округ Люберцы Московской области» на 2018-2022 годы (прилагается).</w:t>
      </w:r>
    </w:p>
    <w:p w:rsidR="00CA145C" w:rsidRPr="00CA145C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1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614D22" w:rsidRPr="0061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Люберецкого муниципального района Московской области от 25.11.2016                               № 2859-ПА</w:t>
      </w:r>
      <w:r w:rsidR="0061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1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614D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«Комплексное территориальное градостроительное развитие Люберецкого муниципального района Московской области».</w:t>
      </w:r>
    </w:p>
    <w:p w:rsidR="00276050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76050"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</w:t>
      </w:r>
      <w:r w:rsidR="00276050"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«Интернет».</w:t>
      </w:r>
    </w:p>
    <w:p w:rsidR="00CA145C" w:rsidRPr="00CA145C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C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CA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</w:t>
      </w:r>
      <w:r w:rsidR="008C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430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8F547D" w:rsidRPr="008F547D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F547D" w:rsidRPr="00325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55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4B0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AD4B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8F547D" w:rsidRPr="0032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 Главы администрации </w:t>
      </w:r>
      <w:r w:rsidR="00AD4B0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</w:t>
      </w:r>
      <w:r w:rsidR="0043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</w:t>
      </w:r>
    </w:p>
    <w:p w:rsidR="008F547D" w:rsidRPr="008F547D" w:rsidRDefault="008F547D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7D" w:rsidRDefault="008F547D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5C" w:rsidRPr="008F547D" w:rsidRDefault="00CA145C" w:rsidP="00CA145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7D" w:rsidRPr="00B81879" w:rsidRDefault="00E67F8B" w:rsidP="00B81879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8F547D" w:rsidRPr="00B8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</w:t>
      </w:r>
    </w:p>
    <w:p w:rsidR="008F547D" w:rsidRPr="00B81879" w:rsidRDefault="008F547D" w:rsidP="00B81879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Pr="00B81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И.Г. Назарьева</w:t>
      </w:r>
    </w:p>
    <w:p w:rsidR="00325D95" w:rsidRDefault="00325D95" w:rsidP="008F547D">
      <w:pPr>
        <w:tabs>
          <w:tab w:val="left" w:pos="993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D95" w:rsidRDefault="00325D95" w:rsidP="008F547D">
      <w:pPr>
        <w:tabs>
          <w:tab w:val="left" w:pos="993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50" w:rsidRDefault="00276050" w:rsidP="00325D95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6050" w:rsidSect="00276050">
          <w:pgSz w:w="11906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03EB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Утверждена Постановлением 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администрации городского округа 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Люберцы Московской области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CA1A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gramStart"/>
      <w:r w:rsidR="00CA1AAE">
        <w:rPr>
          <w:rFonts w:ascii="Times New Roman" w:eastAsia="Calibri" w:hAnsi="Times New Roman" w:cs="Times New Roman"/>
          <w:sz w:val="24"/>
          <w:szCs w:val="24"/>
        </w:rPr>
        <w:t>23.03.2018</w:t>
      </w:r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proofErr w:type="gramEnd"/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AAE">
        <w:rPr>
          <w:rFonts w:ascii="Times New Roman" w:eastAsia="Calibri" w:hAnsi="Times New Roman" w:cs="Times New Roman"/>
          <w:sz w:val="24"/>
          <w:szCs w:val="24"/>
        </w:rPr>
        <w:t>966-ПА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ПАСПОРТ МУНИЦИПАЛЬНОЙ ПРОГРАММЫ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«Архитектура и градостроительство на территории муниципального образования 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городской округ Люберцы Московской области» на 2018-2022 годы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03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46"/>
      <w:bookmarkEnd w:id="0"/>
    </w:p>
    <w:tbl>
      <w:tblPr>
        <w:tblW w:w="147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2"/>
        <w:gridCol w:w="2023"/>
        <w:gridCol w:w="1701"/>
        <w:gridCol w:w="1843"/>
        <w:gridCol w:w="1843"/>
        <w:gridCol w:w="1701"/>
        <w:gridCol w:w="1842"/>
      </w:tblGrid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 и градостроительство на территории муниципального образования городской округ Люберцы Московской области (далее- Программа)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line="25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Определение приоритетов и формирование пространственного развития городского округа Люберцы Московской области, обеспечивающего градостроительными средствами создание условий для устойчивого развития территории городского округа Люберцы, а также благоприятной среды для проживания граждан и осуществления ими жизнедеятельности. 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EBC" w:rsidRPr="00903EBC" w:rsidRDefault="00903EBC" w:rsidP="00903EBC">
            <w:pPr>
              <w:spacing w:line="25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Утверждение документов территориального планирования и градостроительного зонирования </w:t>
            </w:r>
            <w:r w:rsidRPr="00903EB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городского округа Люберцы </w:t>
            </w: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Московской области, а также местных нормативов градостроительного проектирования городского округа Люберцы.</w:t>
            </w:r>
          </w:p>
          <w:p w:rsidR="00903EBC" w:rsidRPr="00903EBC" w:rsidRDefault="00903EBC" w:rsidP="00903EBC">
            <w:pPr>
              <w:spacing w:line="25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Создание архитектурно-художественного облика </w:t>
            </w:r>
            <w:r w:rsidRPr="00903EB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городского округа Люберцы </w:t>
            </w: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Московской области.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Люберцы Московской области, курирующий вопросы архитектуры и градостроительства.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2018-2022 годы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 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03EBC" w:rsidRPr="00903EBC" w:rsidTr="00E702EA">
        <w:tc>
          <w:tcPr>
            <w:tcW w:w="37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03EBC" w:rsidRPr="00903EBC" w:rsidTr="00E702EA"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spacing w:line="25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3EBC" w:rsidRPr="00903EBC" w:rsidTr="00E702EA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утвержденного генерального плана городского округа Люберцы.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утвержденных правил землепользования и застройки городского округа (проекта внесения изменений в правила землепользования и застройки).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3. Количество проведенных публичных слушаний по проекту генерального плана городского округа.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Количество проведенных публичных слушаний по проекту правил землепользования и застройки 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(проекту внесения изменений в правила землепользования и застройки).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5. Наличие утвержденных местных нормативов градостроительного проектирования городского округа Люберцы.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архитектурно-планировочных концепций благоустройства общественных территорий.</w:t>
            </w:r>
          </w:p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EBC">
              <w:rPr>
                <w:rFonts w:ascii="Times New Roman" w:eastAsia="Calibri" w:hAnsi="Times New Roman" w:cs="Times New Roman"/>
                <w:sz w:val="24"/>
                <w:szCs w:val="24"/>
              </w:rPr>
              <w:t>7. Запрет на долгострой. Улучшение архитектурного облика (ликвидация долгостроев, самовольного строительства).</w:t>
            </w:r>
          </w:p>
        </w:tc>
      </w:tr>
    </w:tbl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/>
        <w:rPr>
          <w:rFonts w:ascii="Calibri" w:eastAsia="Calibri" w:hAnsi="Calibri" w:cs="Times New Roman"/>
        </w:rPr>
      </w:pPr>
    </w:p>
    <w:p w:rsidR="00276050" w:rsidRDefault="00276050" w:rsidP="00903EBC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EBC" w:rsidSect="00E702E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numPr>
          <w:ilvl w:val="0"/>
          <w:numId w:val="48"/>
        </w:numPr>
        <w:tabs>
          <w:tab w:val="left" w:pos="709"/>
        </w:tabs>
        <w:spacing w:after="160" w:line="259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Муниципальная программа «Архитектура и градостроительства на территории муниципального образования городской округ Люберцы Московской области»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№ 56/2017-ОЗ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21.12.2017                     № 2911-ПА «Об утверждении Порядка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Островецкое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Раменского муниципального района Московской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области,на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востоке – с сельским поселением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Вялковское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Раменского муниципального района, с сельским поселением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Верейское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Раменского муниципального района, с сельским поселением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Островецкое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Площадь территории городского округа Люберцы составляет 12205 га.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Граница городского округа Люберцы утверждена Постановлением Московской областной думы от </w:t>
      </w:r>
      <w:proofErr w:type="gramStart"/>
      <w:r w:rsidRPr="00903EBC">
        <w:rPr>
          <w:rFonts w:ascii="Times New Roman" w:eastAsia="Calibri" w:hAnsi="Times New Roman" w:cs="Times New Roman"/>
          <w:sz w:val="28"/>
          <w:szCs w:val="28"/>
        </w:rPr>
        <w:t>13.04.2017 .</w:t>
      </w:r>
      <w:proofErr w:type="gram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№ 14/21-П «О Законе Московской области «О границе городского округа Люберцы».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городского округа расположено 22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насёленных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пункта: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Люберцы – город Московской области – административный центр городского округа;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Красково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дачный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Малаховка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рабочий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Октябрьский – рабочий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Томилино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рабочий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Балластный Карьер –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Егорово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Жилино-1 –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Жилино-2 –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Кирилловка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Лукьяновка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Марусино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Машково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Мирный – поселок;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Мотяково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Пехорка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Сосновка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Токарево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Торбеево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Хлыстово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Часовня – деревня;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Чкалово – поселок.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Балашихинско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>-Люберецкой устойчивой системы расселения, которая является рекреационно-городской.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Малаховка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. Октябрьский,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Томилино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д.п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Красково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Тума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>», планируемая</w:t>
      </w:r>
      <w:r w:rsidRPr="00903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03EBC">
        <w:rPr>
          <w:rFonts w:ascii="Times New Roman" w:eastAsia="Calibri" w:hAnsi="Times New Roman" w:cs="Times New Roman"/>
          <w:sz w:val="28"/>
          <w:szCs w:val="28"/>
        </w:rPr>
        <w:t>федеральная автодорога МКАД – Ногинск – Орехово-Зуево, новые региональные автодороги.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Накопление "отложенных затрат" на содержание жилищного фонда и коммунальных инфраструктур, рост стоимости их эксплуатации, ремонта.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Целью муниципальной программы является обеспечение градостроительными средствами роста качества жизни населения городского округа Люберцы, учет интересов граждан и их объединений при определении назначения территорий исходя из совокупности социальных, экономических, экологических и иных факторов. Задачами территориального планирования развития городского округа Люберцы в системе расселения Московской области также являются: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>обеспечение устойчивого развития территорий на основе территориального планирования и градостроительного зонирования;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 xml:space="preserve">осуществление градостроительной деятельности с соблюдением требований технических регламентов, безопасности территорий, инженерно-технических требований, требований гражданской обороны; 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>обеспечение мер по предупреждению чрезвычайных ситуаций природного и техногенного характера, противодействию террористическим актам;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>осуществление градостроительной деятельности с соблюдением требований охраны окружающей среды и экологической безопасности;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</w:t>
      </w:r>
      <w:r w:rsidRPr="00903EBC">
        <w:rPr>
          <w:rFonts w:ascii="Times New Roman" w:eastAsia="Calibri" w:hAnsi="Times New Roman" w:cs="Times New Roman"/>
          <w:sz w:val="28"/>
          <w:szCs w:val="28"/>
        </w:rPr>
        <w:tab/>
        <w:t>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Для этого необходимо: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1)  Утверждение Генерального плана городского округа Люберцы Московской области.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2) Разработать и утвердить нормативы градостроительного проектирования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3)  Согласование и реализация проектов по разработке пешеходных зон и благоустроенных общественных пространств в населенных пунктах городского округа Люберцы, а также приведение в надлежащий вид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вылетных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магистралей и главной улицы города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Правила землепользования и застройки территории (части территории) городского округа Люберцы утверждены Решением Совета депутатов городского округа Люберцы от 20.12.2017 № 164/18. 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В соответствии с мероприятиями государственной программы «Архитектура и градостроительство» в 2018 году предусмотрено внесение изменений в Правила землепользования и застройки территории (части территории) городского округа Люберцы.</w:t>
      </w:r>
    </w:p>
    <w:p w:rsidR="00903EBC" w:rsidRPr="00903EBC" w:rsidRDefault="00903EBC" w:rsidP="00903EBC">
      <w:pPr>
        <w:numPr>
          <w:ilvl w:val="0"/>
          <w:numId w:val="48"/>
        </w:num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Прогноз развития соответствующей сферы реализации муниципальной программы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По итогам реализации градостроительными средствами мероприятий муниципальной программы планируется: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обеспечения жителей городского округа Люберцы в социальных объектах согласно нормативным требованиям;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возможность резервирование территории для развития транспортных инфраструктур.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В ходе реализации муниципальной программы могут возникнуть социальные и нормативно-правовые риски.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Социальные риски – могут быть выражены социальным напряжением населения в ходе публичных слушаний, что приведет к необходимости направления на доработку проекта документов территориального планирования.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Снижение рисков возможно обеспечить за счет: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903EBC" w:rsidRPr="00903EBC" w:rsidRDefault="00903EBC" w:rsidP="00903EBC">
      <w:pPr>
        <w:numPr>
          <w:ilvl w:val="0"/>
          <w:numId w:val="48"/>
        </w:numPr>
        <w:tabs>
          <w:tab w:val="left" w:pos="709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Основные мероприятия муниципальной программы направлены на: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реализацию политики пространственного развития муниципалитета посредством исполнения комплекса практических мер по разработке и утверждению генерального плана городского округа Люберцы и местных нормативов градостроительного проектирования землепользования и застройки территории муниципального образования, а также внесению изменений в утвержденные правила землепользования и застройки территории (части территории) городского округа Люберцы в целях приведения их в соответствие положениям Градостроительного кодекса Российской Федерации, в том числе в части отображения в документах границ населенных пунктов и Федерального закона от 29 июля 2017 года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формирование привлекательного архитектурно-художественного облика населенных пунктов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Разработка вышеуказанных документов городского округа Люберцы направлена на создание устойчивого развития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Генеральный план городского округа определяет цели и задачи территориального планирования, а также мероприятия по территориальному планированию муниципального образования.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Генеральный план составляет градостроительную основу всех документов по градостроительному зонированию и планировке территории городского округа и обеспечивает согласованное развитие муниципального образования в структуре Московской области.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Градостроительное зонирование территории городского округа установлено Правилами землепользования и застройки территории (части территории) городского округа Люберцы, утверждёнными Решением Совета депутатов городского округа Люберцы от 20.12.2017 № 164/18. 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Архитектурно-художественный облик напрямую связан с созданием новых архитектурных объектов и сохранением старых, наиболее ценных, а также ликвидацией долгостроев и объектов самовольного строительства. Социально-экономические и культурные условия, являются предпосылками по созданию пространственной среды, в которой мы живем и развиваемся. Качество среды проживания, которую мы формируем, является главным фактором, влияющим на архитектурно-художественный облик городского округа. 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Архитектурно-планировочные концепции благоустройства общественных территорий разрабатываются с целью определения главных стратегических направлений развития городской среды и создания единого облика населенных пунктов муниципального образования.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Под ликвидацией долгостроев и объектов самовольного строительства понимается ряд комплексных мероприятий, предпринимаемых органами местного самоуправления Московской области (городских округов и муниципальных районов),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</w:t>
      </w:r>
      <w:proofErr w:type="spellStart"/>
      <w:r w:rsidRPr="00903EBC">
        <w:rPr>
          <w:rFonts w:ascii="Times New Roman" w:eastAsia="Calibri" w:hAnsi="Times New Roman" w:cs="Times New Roman"/>
          <w:sz w:val="28"/>
          <w:szCs w:val="28"/>
        </w:rPr>
        <w:t>достроя</w:t>
      </w:r>
      <w:proofErr w:type="spellEnd"/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объектов незавершенного строительства.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3EBC" w:rsidRPr="00903EBC" w:rsidRDefault="00903EBC" w:rsidP="00903EBC">
      <w:pPr>
        <w:numPr>
          <w:ilvl w:val="0"/>
          <w:numId w:val="48"/>
        </w:numPr>
        <w:tabs>
          <w:tab w:val="left" w:pos="709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Планируемые результаты реализации муниципальной программы по форме согласно приложению № 1.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Реализация мероприятий муниципальной программы позволит: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1. Определить: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приоритеты пространственного развития городского округа;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2. Сформировать: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3. Обеспечить: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- качественно улучшить состояние инженерной, транспортной и социальной инфраструктур, повысить экономический и социальный потенциал территории.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5. Методика расчета значений показателей эффективности реализации программы (наименование, единица измерения, источник </w:t>
      </w:r>
      <w:proofErr w:type="gramStart"/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данных,   </w:t>
      </w:r>
      <w:proofErr w:type="gramEnd"/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порядок расчета).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Под оценкой результативности понимается определение степени достижения значений планируемых результатов реализации муниципальной программы.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Для оценки результативности муниципальной программы должны быть использованы планируемые и фактические значения планируемых результатов реализации муниципальной программы (далее – планируемое значение показателя, фактическое значение показателя) на конец отчетного периода.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Методика расчета показателя № 34 «Запрет на долгострой. Улучшение архитектурного облика (ликвидация долгостроев, самовольного строительства)» утверждена Главным управлением архитектуры и градостроительства Московской области.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134"/>
        <w:gridCol w:w="3912"/>
      </w:tblGrid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показателя, характеризующего достижение цели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расчета значений целевого показателя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утвержденного генерального плана городского округа Люберцы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целевого показателя определяется, исходя из фактического наличия утвержденного генерального плана муниципального образования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утвержденных правил землепользования и застройки городского округа (проекта внесения изменений в правила землепользования и застройки)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целевого показателя определяется, исходя из фактического наличия в муниципальном образовании правил землепользования и застройки территории (проекта внесения изменений в правила землепользования и застройки)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проведенных публичных </w:t>
            </w: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слушаний по проекту генерального плана городского округа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 w:firstLine="2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целевого показателя определяется, исходя из </w:t>
            </w: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фактического количества проведенных публичных слушаний по рассмотрению проекта Генерального плана городского округа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публичных слушаний по проекту правил землепользования и застройки городского округа (проекту внесения изменений в правила землепользования и застройки)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 w:firstLine="2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целевого показателя определяется, исходя из фактического количества проведенных публичных слушаний по рассмотрению проекта правил землепользования и застройки территории (проекта внесения изменений в правила землепользования и застройки)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утвержденных местных нормативов градостроительного проектирования городского округа Люберцы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целевого показателя определяется, исходя из фактического наличия утвержденных местных нормативов градостроительного проектирования городского округа Люберцы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архитектурно-планировочных концепций благоустройства общественных территорий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целевого показателя определяется, исходя из фактического наличия архитектурно-планировочных концепций благоустройства общественных пространств</w:t>
            </w:r>
          </w:p>
        </w:tc>
      </w:tr>
      <w:tr w:rsidR="00903EBC" w:rsidRPr="00903EBC" w:rsidTr="00E702EA">
        <w:tc>
          <w:tcPr>
            <w:tcW w:w="567" w:type="dxa"/>
          </w:tcPr>
          <w:p w:rsidR="00903EBC" w:rsidRPr="00903EBC" w:rsidRDefault="00903EBC" w:rsidP="00903EBC">
            <w:pPr>
              <w:spacing w:after="160" w:line="259" w:lineRule="auto"/>
              <w:ind w:left="0" w:firstLine="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Запрет на долгострой. Улучшение архитектурного облика (ликвидация долгостроев, самовольного строительства)</w:t>
            </w:r>
          </w:p>
        </w:tc>
        <w:tc>
          <w:tcPr>
            <w:tcW w:w="1134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 </w:t>
            </w:r>
            <w:proofErr w:type="gram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=  1</w:t>
            </w:r>
            <w:proofErr w:type="gram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/A +B + (C/D)*k, где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 – итоговая оценка деятельности ОМС МО </w:t>
            </w:r>
            <w:proofErr w:type="gram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по ликвидация</w:t>
            </w:r>
            <w:proofErr w:type="gram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долгостроев, самовольного строительства, балл;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A – количество объектов незавершенного строительства на дату отчетного периода, единиц (определяется на основании данных, полученных от Администраций муниципальных образований (городских округой и муниципальных районов) и Главного управления государственного строительного надзора Московской области)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значение A=0, то муниципальному образованию (городскому округу, муниципальному району) присваивается максимальный балл – 23 и первое место в рейтинге по значению и динамике; 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B – наличие у муниципального образования (городского округа или муниципального района) Дорожных карт по всему перечню объектов незавершенного строительства, согласованных Главным Управлением архитектуры МО, балл.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Дорожной </w:t>
            </w:r>
            <w:proofErr w:type="gram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карты  –</w:t>
            </w:r>
            <w:proofErr w:type="gram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балла, отсутствие Дорожной карты  – 0 баллов;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C – количество этапов (</w:t>
            </w:r>
            <w:proofErr w:type="gram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мероприятий)  Дорожных</w:t>
            </w:r>
            <w:proofErr w:type="gram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карт, выполненных муниципальным образованием в целях ликвидации (</w:t>
            </w:r>
            <w:proofErr w:type="spell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достроя</w:t>
            </w:r>
            <w:proofErr w:type="spell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сноса объектов) </w:t>
            </w: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незавершенного строительства за отчетный период (месяц), единиц;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 – общее количество этапов (мероприятий) Дорожных </w:t>
            </w:r>
            <w:proofErr w:type="gramStart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карт,  предусмотренных</w:t>
            </w:r>
            <w:proofErr w:type="gramEnd"/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муниципальным образованием (муниципальным районом или округом) по всем объектов незавершенного строительства, единиц;</w:t>
            </w:r>
          </w:p>
          <w:p w:rsidR="00903EBC" w:rsidRPr="00903EBC" w:rsidRDefault="00903EBC" w:rsidP="00903EBC">
            <w:pPr>
              <w:spacing w:after="160" w:line="259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EBC">
              <w:rPr>
                <w:rFonts w:ascii="Times New Roman" w:eastAsia="Calibri" w:hAnsi="Times New Roman" w:cs="Times New Roman"/>
                <w:sz w:val="28"/>
                <w:szCs w:val="28"/>
              </w:rPr>
              <w:t>k – коэффициент, равен 20.</w:t>
            </w:r>
          </w:p>
        </w:tc>
      </w:tr>
    </w:tbl>
    <w:p w:rsidR="00903EBC" w:rsidRPr="00903EBC" w:rsidRDefault="00903EBC" w:rsidP="00903EBC">
      <w:pPr>
        <w:spacing w:after="160" w:line="259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Под «дорожной картой» для ликвидации долгостроев и объектов самовольного строительства (далее – Дорожная карта) понимается комплексный документ, который содержит справку об объекте незавершенного строительства, расположенном в муниципальном образовании (городском округе или муниципальном районе), а также перечень этапов (мероприятий) по его дострою или сносу с указанием ответственных лиц и сроков их выполнения. На один объект незавершенного строительства заполняется одна дорожная карта.</w:t>
      </w:r>
    </w:p>
    <w:p w:rsidR="00903EBC" w:rsidRPr="00903EBC" w:rsidRDefault="00903EBC" w:rsidP="00903EBC">
      <w:pPr>
        <w:numPr>
          <w:ilvl w:val="0"/>
          <w:numId w:val="49"/>
        </w:numPr>
        <w:tabs>
          <w:tab w:val="left" w:pos="709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Порядок взаимодействия ответственного за выполнение мероприятия с заказчиком подпрограммы.</w:t>
      </w:r>
    </w:p>
    <w:p w:rsidR="00903EBC" w:rsidRPr="00903EBC" w:rsidRDefault="00903EBC" w:rsidP="00903EBC">
      <w:p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Ответственность за реализацию муниципальной программы несет муниципальный заказчик муниципальной программы. Контроль за ходом реализации муниципальной программы осуществляется Заместителем Главы администрации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Управление реализацией муниципальной программы и обеспечение достижения планируемых значений показателей эффективности реализации программных мероприятий осуществляется координатором муниципальной программы - Заместителем Главы администрации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>Взаимодействие между ответственными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- управление архитектуры администрации городского округа Люберцы.</w:t>
      </w:r>
    </w:p>
    <w:p w:rsidR="00903EBC" w:rsidRPr="00903EBC" w:rsidRDefault="00903EBC" w:rsidP="00903EBC">
      <w:p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EBC" w:rsidRPr="00903EBC" w:rsidRDefault="00903EBC" w:rsidP="00903EBC">
      <w:pPr>
        <w:numPr>
          <w:ilvl w:val="0"/>
          <w:numId w:val="49"/>
        </w:numPr>
        <w:tabs>
          <w:tab w:val="left" w:pos="709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EBC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Состав, форма и сроки представления отчетности о ходе реализации мероприятия ответственным за выполнение мероприятия.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EBC">
        <w:rPr>
          <w:rFonts w:ascii="Times New Roman" w:eastAsia="Calibri" w:hAnsi="Times New Roman" w:cs="Times New Roman"/>
          <w:sz w:val="28"/>
          <w:szCs w:val="28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</w:t>
      </w:r>
      <w:r w:rsidRPr="00903EBC">
        <w:rPr>
          <w:rFonts w:ascii="Times New Roman" w:eastAsia="Calibri" w:hAnsi="Times New Roman" w:cs="Times New Roman"/>
          <w:sz w:val="28"/>
          <w:szCs w:val="28"/>
        </w:rPr>
        <w:lastRenderedPageBreak/>
        <w:t>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от 21.12.2017 № 2911-ПА.</w:t>
      </w:r>
    </w:p>
    <w:p w:rsidR="00903EBC" w:rsidRPr="00903EBC" w:rsidRDefault="00903EBC" w:rsidP="00903EBC">
      <w:p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EBC" w:rsidSect="00CA1AA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89"/>
      <w:bookmarkEnd w:id="1"/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реализации муниципальной программы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«Архитектура и градостроительство 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Московской области» на 2018-2022 годы. 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11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338"/>
        <w:gridCol w:w="1055"/>
        <w:gridCol w:w="1417"/>
        <w:gridCol w:w="1338"/>
        <w:gridCol w:w="1151"/>
        <w:gridCol w:w="1213"/>
        <w:gridCol w:w="1151"/>
        <w:gridCol w:w="1151"/>
        <w:gridCol w:w="1337"/>
      </w:tblGrid>
      <w:tr w:rsidR="00903EBC" w:rsidRPr="00903EBC" w:rsidTr="00CA1AAE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</w:t>
            </w: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</w:t>
            </w:r>
            <w:proofErr w:type="gramEnd"/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показателя*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Базовое значение на начало реализации программы/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6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утвержденного генерального плана городского округа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утвержденных правил землепользования и застройки городского округа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проведенных публичных слушаний по проекту генерального плана городского округа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GoBack"/>
            <w:bookmarkEnd w:id="2"/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проведенных </w:t>
            </w: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публичных слушаний по проекту правил землепользования и застройки городского округа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Целевой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утвержденных местных нормативов градостроительного проектирования городского округа Люберцы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архитектурно-планировочных концепций благоустройства общественных территорий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03EBC" w:rsidRPr="00903EBC" w:rsidTr="00CA1A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Запрет на долгострой. Улучшение архитектурного облика (ликвидация долгостроев, самовольного строительства)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03EBC" w:rsidRPr="00903EBC" w:rsidRDefault="00903EBC" w:rsidP="00903E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программы (подпрограммы)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«Архитектура и градостроительство 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3E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городского округа Люберцы Московской области» на 2018-2022 годы. </w:t>
      </w:r>
    </w:p>
    <w:p w:rsidR="00903EBC" w:rsidRPr="00903EBC" w:rsidRDefault="00903EBC" w:rsidP="00903EB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574"/>
        <w:gridCol w:w="999"/>
        <w:gridCol w:w="1531"/>
        <w:gridCol w:w="1219"/>
        <w:gridCol w:w="999"/>
        <w:gridCol w:w="1174"/>
        <w:gridCol w:w="1205"/>
        <w:gridCol w:w="1076"/>
        <w:gridCol w:w="1108"/>
        <w:gridCol w:w="910"/>
        <w:gridCol w:w="936"/>
        <w:gridCol w:w="1151"/>
      </w:tblGrid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Всего,   </w:t>
            </w:r>
            <w:proofErr w:type="gramEnd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 год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 год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318" w:type="pct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327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3" w:name="_Hlk498508694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1.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утверждения проекта Генерального плана городского округа Люберцы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 квартал 2018 года</w:t>
            </w: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архитектуры (Ю.Н. Пантелеев)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 утвержденного Генерального плана городского округа Люберцы</w:t>
            </w:r>
          </w:p>
        </w:tc>
      </w:tr>
      <w:bookmarkEnd w:id="3"/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23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2.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проведения публичных слушаний по проекту генерального плана городского округа Люберцы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 квартал 2018 года</w:t>
            </w: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80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80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8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8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8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архитектуры (Ю.Н. Пантелеев)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проведенных публичных слушаний по проекту генерального плана городского округа Люберцы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3.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утверждения проекта правил землепользования и застройки городского округа Люберцы (проектов внесения изменений в правила землепользования и застройки городского округа Люберцы)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 2018 года</w:t>
            </w: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архитектуры (Ю.Н. Пантелеев)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 утвержденных правил землепользования и застройки городского округа Люберцы (проектов внесения изменений в правила землепользования и застройки городского округа Люберцы)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4.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Обеспечение проведения публичных слушаний по рассмотрению правил землепользования и застройки городского округа Люберцы (проектов внесения изменений в правила землепользования и застройки городского округа Люберцы)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Декабрь 2018 года</w:t>
            </w: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Управление </w:t>
            </w: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архитектуры (Ю.Н. Пантелеев)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Количество </w:t>
            </w: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проведенных публичных слушаний по рассмотрению правил землепользования и застройки городского округа Люберцы (проектов внесения изменений в правила землепользования и застройки городского округа Люберцы)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Средства </w:t>
            </w: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lastRenderedPageBreak/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-57" w:right="-57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-23" w:right="-57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-36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-36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-36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5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утверждения местных нормативов градостроительного проектирования городского округа Люберцы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 квартал 2018 года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архитектуры (Ю.Н. Пантелеев)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 утверждённых местных нормативов градостроительного проектирования городского округа Люберцы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-39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0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мероприятие 6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архитектурно-планировочных концепций благоустройства общественных территорий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 квартал 2018 года</w:t>
            </w: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Управление архитектуры (Ю.Н. Пантелеев), Управление </w:t>
            </w:r>
            <w:proofErr w:type="spellStart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благоустройста</w:t>
            </w:r>
            <w:proofErr w:type="spellEnd"/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Количествоархитектурно</w:t>
            </w:r>
            <w:proofErr w:type="spellEnd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-планировочных концепций благоустройства общественных территорий, </w:t>
            </w:r>
            <w:proofErr w:type="gramStart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ликвидация  долгостроев</w:t>
            </w:r>
            <w:proofErr w:type="gramEnd"/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самовольного строительства</w:t>
            </w: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1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700" w:type="pct"/>
            <w:gridSpan w:val="2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ПО ПРОГРАММЕ (ПОДПРОГРАММЕ)</w:t>
            </w:r>
          </w:p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700" w:type="pct"/>
            <w:gridSpan w:val="2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700" w:type="pct"/>
            <w:gridSpan w:val="2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700" w:type="pct"/>
            <w:gridSpan w:val="2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Средства </w:t>
            </w: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lastRenderedPageBreak/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EBC" w:rsidRPr="00903EBC" w:rsidTr="00E702EA">
        <w:trPr>
          <w:trHeight w:val="20"/>
        </w:trPr>
        <w:tc>
          <w:tcPr>
            <w:tcW w:w="700" w:type="pct"/>
            <w:gridSpan w:val="2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5" w:type="pct"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3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6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49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10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421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76" w:type="pct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87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18" w:type="pct"/>
            <w:shd w:val="clear" w:color="auto" w:fill="auto"/>
          </w:tcPr>
          <w:p w:rsidR="00903EBC" w:rsidRPr="00903EBC" w:rsidRDefault="00903EBC" w:rsidP="00903EBC">
            <w:pPr>
              <w:ind w:left="102"/>
              <w:jc w:val="center"/>
            </w:pPr>
            <w:r w:rsidRPr="00903EBC">
              <w:t>0,00</w:t>
            </w:r>
          </w:p>
        </w:tc>
        <w:tc>
          <w:tcPr>
            <w:tcW w:w="327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03EBC" w:rsidRPr="00903EBC" w:rsidRDefault="00903EBC" w:rsidP="00903E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EBC" w:rsidRPr="00903EBC" w:rsidRDefault="00903EBC" w:rsidP="00903EBC">
      <w:pPr>
        <w:tabs>
          <w:tab w:val="left" w:pos="6165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3EBC" w:rsidRPr="00903EBC" w:rsidSect="00903E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726B"/>
    <w:multiLevelType w:val="hybridMultilevel"/>
    <w:tmpl w:val="420C3744"/>
    <w:lvl w:ilvl="0" w:tplc="E5E8BA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5" w15:restartNumberingAfterBreak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 w15:restartNumberingAfterBreak="0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 w15:restartNumberingAfterBreak="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3" w15:restartNumberingAfterBreak="0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 w15:restartNumberingAfterBreak="0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8" w15:restartNumberingAfterBreak="0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2" w15:restartNumberingAfterBreak="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5" w15:restartNumberingAfterBreak="0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5"/>
  </w:num>
  <w:num w:numId="3">
    <w:abstractNumId w:val="48"/>
  </w:num>
  <w:num w:numId="4">
    <w:abstractNumId w:val="1"/>
  </w:num>
  <w:num w:numId="5">
    <w:abstractNumId w:val="24"/>
  </w:num>
  <w:num w:numId="6">
    <w:abstractNumId w:val="46"/>
  </w:num>
  <w:num w:numId="7">
    <w:abstractNumId w:val="45"/>
  </w:num>
  <w:num w:numId="8">
    <w:abstractNumId w:val="18"/>
  </w:num>
  <w:num w:numId="9">
    <w:abstractNumId w:val="10"/>
  </w:num>
  <w:num w:numId="10">
    <w:abstractNumId w:val="12"/>
  </w:num>
  <w:num w:numId="11">
    <w:abstractNumId w:val="26"/>
  </w:num>
  <w:num w:numId="12">
    <w:abstractNumId w:val="11"/>
  </w:num>
  <w:num w:numId="13">
    <w:abstractNumId w:val="31"/>
  </w:num>
  <w:num w:numId="14">
    <w:abstractNumId w:val="29"/>
  </w:num>
  <w:num w:numId="15">
    <w:abstractNumId w:val="20"/>
  </w:num>
  <w:num w:numId="16">
    <w:abstractNumId w:val="6"/>
  </w:num>
  <w:num w:numId="17">
    <w:abstractNumId w:val="34"/>
  </w:num>
  <w:num w:numId="18">
    <w:abstractNumId w:val="42"/>
  </w:num>
  <w:num w:numId="19">
    <w:abstractNumId w:val="14"/>
  </w:num>
  <w:num w:numId="20">
    <w:abstractNumId w:val="28"/>
  </w:num>
  <w:num w:numId="21">
    <w:abstractNumId w:val="16"/>
  </w:num>
  <w:num w:numId="22">
    <w:abstractNumId w:val="23"/>
  </w:num>
  <w:num w:numId="23">
    <w:abstractNumId w:val="22"/>
  </w:num>
  <w:num w:numId="24">
    <w:abstractNumId w:val="19"/>
  </w:num>
  <w:num w:numId="25">
    <w:abstractNumId w:val="40"/>
  </w:num>
  <w:num w:numId="26">
    <w:abstractNumId w:val="9"/>
  </w:num>
  <w:num w:numId="27">
    <w:abstractNumId w:val="25"/>
  </w:num>
  <w:num w:numId="28">
    <w:abstractNumId w:val="3"/>
  </w:num>
  <w:num w:numId="29">
    <w:abstractNumId w:val="13"/>
  </w:num>
  <w:num w:numId="30">
    <w:abstractNumId w:val="17"/>
  </w:num>
  <w:num w:numId="31">
    <w:abstractNumId w:val="33"/>
  </w:num>
  <w:num w:numId="32">
    <w:abstractNumId w:val="39"/>
  </w:num>
  <w:num w:numId="33">
    <w:abstractNumId w:val="36"/>
  </w:num>
  <w:num w:numId="34">
    <w:abstractNumId w:val="44"/>
  </w:num>
  <w:num w:numId="35">
    <w:abstractNumId w:val="0"/>
  </w:num>
  <w:num w:numId="36">
    <w:abstractNumId w:val="41"/>
  </w:num>
  <w:num w:numId="37">
    <w:abstractNumId w:val="47"/>
  </w:num>
  <w:num w:numId="38">
    <w:abstractNumId w:val="30"/>
  </w:num>
  <w:num w:numId="39">
    <w:abstractNumId w:val="38"/>
  </w:num>
  <w:num w:numId="40">
    <w:abstractNumId w:val="7"/>
  </w:num>
  <w:num w:numId="41">
    <w:abstractNumId w:val="4"/>
  </w:num>
  <w:num w:numId="42">
    <w:abstractNumId w:val="32"/>
  </w:num>
  <w:num w:numId="43">
    <w:abstractNumId w:val="35"/>
  </w:num>
  <w:num w:numId="44">
    <w:abstractNumId w:val="21"/>
  </w:num>
  <w:num w:numId="45">
    <w:abstractNumId w:val="8"/>
  </w:num>
  <w:num w:numId="46">
    <w:abstractNumId w:val="37"/>
  </w:num>
  <w:num w:numId="47">
    <w:abstractNumId w:val="43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3596D"/>
    <w:rsid w:val="000524E4"/>
    <w:rsid w:val="00061DE8"/>
    <w:rsid w:val="000935CC"/>
    <w:rsid w:val="000C04AE"/>
    <w:rsid w:val="000E05DF"/>
    <w:rsid w:val="000F08E1"/>
    <w:rsid w:val="001409CB"/>
    <w:rsid w:val="0016145A"/>
    <w:rsid w:val="0017353C"/>
    <w:rsid w:val="00173ACB"/>
    <w:rsid w:val="001850FA"/>
    <w:rsid w:val="001B418A"/>
    <w:rsid w:val="001B63EA"/>
    <w:rsid w:val="001E19FF"/>
    <w:rsid w:val="001E4FC9"/>
    <w:rsid w:val="001E60C2"/>
    <w:rsid w:val="001F3D54"/>
    <w:rsid w:val="001F5DC4"/>
    <w:rsid w:val="00203B79"/>
    <w:rsid w:val="002071BC"/>
    <w:rsid w:val="00220882"/>
    <w:rsid w:val="0022528A"/>
    <w:rsid w:val="00227366"/>
    <w:rsid w:val="0023594D"/>
    <w:rsid w:val="00235D0C"/>
    <w:rsid w:val="00262CD3"/>
    <w:rsid w:val="0026645C"/>
    <w:rsid w:val="00276050"/>
    <w:rsid w:val="00294D70"/>
    <w:rsid w:val="002A74D1"/>
    <w:rsid w:val="002D1E93"/>
    <w:rsid w:val="002E346D"/>
    <w:rsid w:val="00302F41"/>
    <w:rsid w:val="00306EEC"/>
    <w:rsid w:val="0032313C"/>
    <w:rsid w:val="00325A32"/>
    <w:rsid w:val="00325D95"/>
    <w:rsid w:val="00362C78"/>
    <w:rsid w:val="0038629D"/>
    <w:rsid w:val="00387C4F"/>
    <w:rsid w:val="003A0C70"/>
    <w:rsid w:val="003A6407"/>
    <w:rsid w:val="003B24DF"/>
    <w:rsid w:val="004032E4"/>
    <w:rsid w:val="00420488"/>
    <w:rsid w:val="00430BF1"/>
    <w:rsid w:val="00444AF1"/>
    <w:rsid w:val="004656F5"/>
    <w:rsid w:val="00474F79"/>
    <w:rsid w:val="00481510"/>
    <w:rsid w:val="0048792E"/>
    <w:rsid w:val="00497772"/>
    <w:rsid w:val="004D362A"/>
    <w:rsid w:val="004E3402"/>
    <w:rsid w:val="0051450D"/>
    <w:rsid w:val="00517640"/>
    <w:rsid w:val="00525D1F"/>
    <w:rsid w:val="005520F4"/>
    <w:rsid w:val="00563B08"/>
    <w:rsid w:val="0058747A"/>
    <w:rsid w:val="00596770"/>
    <w:rsid w:val="005A5AC3"/>
    <w:rsid w:val="005B1FC5"/>
    <w:rsid w:val="005B7CF9"/>
    <w:rsid w:val="005C1AF8"/>
    <w:rsid w:val="005C5359"/>
    <w:rsid w:val="005F11C0"/>
    <w:rsid w:val="005F66B9"/>
    <w:rsid w:val="00614D22"/>
    <w:rsid w:val="00624620"/>
    <w:rsid w:val="006301E8"/>
    <w:rsid w:val="00640638"/>
    <w:rsid w:val="006566D6"/>
    <w:rsid w:val="00697E65"/>
    <w:rsid w:val="006A7242"/>
    <w:rsid w:val="006D0852"/>
    <w:rsid w:val="006E570D"/>
    <w:rsid w:val="006E6141"/>
    <w:rsid w:val="006E7DD4"/>
    <w:rsid w:val="006F02A0"/>
    <w:rsid w:val="006F6EAF"/>
    <w:rsid w:val="00704BC4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3DE9"/>
    <w:rsid w:val="007C5B69"/>
    <w:rsid w:val="007D21CF"/>
    <w:rsid w:val="007E20D6"/>
    <w:rsid w:val="0080564C"/>
    <w:rsid w:val="00820B3E"/>
    <w:rsid w:val="0082612F"/>
    <w:rsid w:val="008305DC"/>
    <w:rsid w:val="00864373"/>
    <w:rsid w:val="00876123"/>
    <w:rsid w:val="00880EB6"/>
    <w:rsid w:val="00890BA8"/>
    <w:rsid w:val="008930A0"/>
    <w:rsid w:val="00897F1E"/>
    <w:rsid w:val="008A77E3"/>
    <w:rsid w:val="008B05B6"/>
    <w:rsid w:val="008C221E"/>
    <w:rsid w:val="008C5BE1"/>
    <w:rsid w:val="008C6CD1"/>
    <w:rsid w:val="008D23B2"/>
    <w:rsid w:val="008E15C7"/>
    <w:rsid w:val="008E4448"/>
    <w:rsid w:val="008E5A95"/>
    <w:rsid w:val="008E7FD9"/>
    <w:rsid w:val="008F547D"/>
    <w:rsid w:val="00903EBC"/>
    <w:rsid w:val="00913985"/>
    <w:rsid w:val="00913EB3"/>
    <w:rsid w:val="00915546"/>
    <w:rsid w:val="00920770"/>
    <w:rsid w:val="00925C30"/>
    <w:rsid w:val="00941E8F"/>
    <w:rsid w:val="00942281"/>
    <w:rsid w:val="0095732A"/>
    <w:rsid w:val="00967195"/>
    <w:rsid w:val="0096725A"/>
    <w:rsid w:val="0098358B"/>
    <w:rsid w:val="00991565"/>
    <w:rsid w:val="009D32E5"/>
    <w:rsid w:val="009F023F"/>
    <w:rsid w:val="00A26A29"/>
    <w:rsid w:val="00A41692"/>
    <w:rsid w:val="00A51533"/>
    <w:rsid w:val="00AB3E95"/>
    <w:rsid w:val="00AC27D3"/>
    <w:rsid w:val="00AD4B03"/>
    <w:rsid w:val="00B46D9B"/>
    <w:rsid w:val="00B51B24"/>
    <w:rsid w:val="00B55C27"/>
    <w:rsid w:val="00B63017"/>
    <w:rsid w:val="00B64BB1"/>
    <w:rsid w:val="00B80DFC"/>
    <w:rsid w:val="00B815B0"/>
    <w:rsid w:val="00B81879"/>
    <w:rsid w:val="00B844EC"/>
    <w:rsid w:val="00B90A05"/>
    <w:rsid w:val="00BA4543"/>
    <w:rsid w:val="00BA47BF"/>
    <w:rsid w:val="00BA7578"/>
    <w:rsid w:val="00BD158C"/>
    <w:rsid w:val="00BE143D"/>
    <w:rsid w:val="00BF3749"/>
    <w:rsid w:val="00C010BE"/>
    <w:rsid w:val="00C1244C"/>
    <w:rsid w:val="00C35CF5"/>
    <w:rsid w:val="00C431AB"/>
    <w:rsid w:val="00C45FDB"/>
    <w:rsid w:val="00C46164"/>
    <w:rsid w:val="00C637CE"/>
    <w:rsid w:val="00C916D2"/>
    <w:rsid w:val="00C970AE"/>
    <w:rsid w:val="00CA145C"/>
    <w:rsid w:val="00CA1AAE"/>
    <w:rsid w:val="00CA77F1"/>
    <w:rsid w:val="00CB7415"/>
    <w:rsid w:val="00CE345D"/>
    <w:rsid w:val="00D606C0"/>
    <w:rsid w:val="00D7270F"/>
    <w:rsid w:val="00DB24A4"/>
    <w:rsid w:val="00DB7DAF"/>
    <w:rsid w:val="00DC391E"/>
    <w:rsid w:val="00DF4FBF"/>
    <w:rsid w:val="00E12ABD"/>
    <w:rsid w:val="00E30793"/>
    <w:rsid w:val="00E62D40"/>
    <w:rsid w:val="00E634CF"/>
    <w:rsid w:val="00E67F8B"/>
    <w:rsid w:val="00E702EA"/>
    <w:rsid w:val="00E9383A"/>
    <w:rsid w:val="00EB4C30"/>
    <w:rsid w:val="00EB6A18"/>
    <w:rsid w:val="00ED0266"/>
    <w:rsid w:val="00ED06C6"/>
    <w:rsid w:val="00ED58EB"/>
    <w:rsid w:val="00F02F58"/>
    <w:rsid w:val="00F20A9A"/>
    <w:rsid w:val="00F5740F"/>
    <w:rsid w:val="00F9112E"/>
    <w:rsid w:val="00F94E09"/>
    <w:rsid w:val="00FA2401"/>
    <w:rsid w:val="00FA406F"/>
    <w:rsid w:val="00FB2D8F"/>
    <w:rsid w:val="00FD39D7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7F34E-8C7E-4573-9924-9C075130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C3DD-195A-4B53-B35E-6054A500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Four</dc:creator>
  <cp:lastModifiedBy>Arhitektura</cp:lastModifiedBy>
  <cp:revision>3</cp:revision>
  <cp:lastPrinted>2018-03-14T14:29:00Z</cp:lastPrinted>
  <dcterms:created xsi:type="dcterms:W3CDTF">2018-04-05T07:06:00Z</dcterms:created>
  <dcterms:modified xsi:type="dcterms:W3CDTF">2018-04-05T07:13:00Z</dcterms:modified>
</cp:coreProperties>
</file>