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BB" w:rsidRPr="007B47AE" w:rsidRDefault="00B61DBB" w:rsidP="00B61DBB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 wp14:anchorId="7C8FB41C" wp14:editId="2FFD8465">
            <wp:extent cx="762000" cy="952500"/>
            <wp:effectExtent l="0" t="0" r="0" b="0"/>
            <wp:docPr id="1" name="Рисунок 1" descr="lub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ber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BB" w:rsidRPr="007B47AE" w:rsidRDefault="00B61DBB" w:rsidP="00B61DBB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7B47AE">
        <w:rPr>
          <w:color w:val="000000"/>
          <w:sz w:val="40"/>
          <w:szCs w:val="40"/>
        </w:rPr>
        <w:t>СОВЕТ ДЕПУТАТОВ</w:t>
      </w:r>
    </w:p>
    <w:p w:rsidR="00B61DBB" w:rsidRPr="007B47AE" w:rsidRDefault="00B61DBB" w:rsidP="00B61DBB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t>МУНИЦИПАЛЬНОГО ОБРАЗОВАНИЯ</w:t>
      </w:r>
      <w:r w:rsidRPr="007B47AE">
        <w:rPr>
          <w:color w:val="000000"/>
          <w:sz w:val="23"/>
          <w:szCs w:val="23"/>
        </w:rPr>
        <w:br/>
        <w:t>ГОРОДСКОЙ ОКРУГ ЛЮБЕРЦЫ</w:t>
      </w:r>
      <w:r w:rsidRPr="007B47AE">
        <w:rPr>
          <w:color w:val="000000"/>
          <w:sz w:val="23"/>
          <w:szCs w:val="23"/>
        </w:rPr>
        <w:br/>
        <w:t>МОСКОВСКОЙ ОБЛАСТИ</w:t>
      </w:r>
    </w:p>
    <w:p w:rsidR="00B61DBB" w:rsidRPr="007B47AE" w:rsidRDefault="00B61DBB" w:rsidP="00B61DBB">
      <w:pPr>
        <w:pStyle w:val="a5"/>
        <w:shd w:val="clear" w:color="auto" w:fill="FFFFFF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B61DBB" w:rsidRPr="007B47AE" w:rsidRDefault="00B61DBB" w:rsidP="00B61DBB">
      <w:pPr>
        <w:pStyle w:val="a5"/>
        <w:shd w:val="clear" w:color="auto" w:fill="FFFFFF"/>
        <w:spacing w:before="0" w:beforeAutospacing="0" w:after="160" w:afterAutospacing="0"/>
        <w:rPr>
          <w:color w:val="000000"/>
          <w:sz w:val="23"/>
          <w:szCs w:val="23"/>
        </w:rPr>
      </w:pPr>
      <w:r w:rsidRPr="007B47AE">
        <w:rPr>
          <w:bCs/>
          <w:szCs w:val="28"/>
        </w:rPr>
        <w:t>19.12.2018</w:t>
      </w:r>
      <w:r w:rsidRPr="007B47AE">
        <w:rPr>
          <w:color w:val="000000"/>
        </w:rPr>
        <w:t xml:space="preserve">.                                                                                                 </w:t>
      </w:r>
      <w:r w:rsidRPr="007B47AE">
        <w:rPr>
          <w:bCs/>
          <w:szCs w:val="28"/>
        </w:rPr>
        <w:t xml:space="preserve">№ </w:t>
      </w:r>
      <w:r>
        <w:rPr>
          <w:sz w:val="28"/>
          <w:szCs w:val="28"/>
        </w:rPr>
        <w:t>265</w:t>
      </w:r>
      <w:r w:rsidRPr="00291B84">
        <w:rPr>
          <w:sz w:val="28"/>
          <w:szCs w:val="28"/>
        </w:rPr>
        <w:t>/30</w:t>
      </w:r>
    </w:p>
    <w:p w:rsidR="00B61DBB" w:rsidRPr="007B47AE" w:rsidRDefault="00B61DBB" w:rsidP="00B61DBB">
      <w:pPr>
        <w:pStyle w:val="a5"/>
        <w:shd w:val="clear" w:color="auto" w:fill="FFFFFF"/>
        <w:spacing w:before="0" w:beforeAutospacing="0" w:after="160" w:afterAutospacing="0"/>
        <w:jc w:val="center"/>
        <w:rPr>
          <w:color w:val="000000"/>
          <w:sz w:val="23"/>
          <w:szCs w:val="23"/>
        </w:rPr>
      </w:pPr>
      <w:r w:rsidRPr="007B47AE">
        <w:rPr>
          <w:b/>
          <w:bCs/>
          <w:color w:val="000000"/>
        </w:rPr>
        <w:t>г. Люберцы</w:t>
      </w:r>
    </w:p>
    <w:p w:rsidR="006529D5" w:rsidRDefault="006529D5" w:rsidP="00291B84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A5A0A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Люберцы </w:t>
      </w:r>
    </w:p>
    <w:p w:rsidR="006529D5" w:rsidRPr="004A5A0A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BD29E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9E3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529D5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обеспечивающих должностях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6529D5" w:rsidRPr="00BD29E3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Люберецкий муниципальный район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</w:t>
      </w:r>
      <w:r w:rsidR="005258F3">
        <w:rPr>
          <w:rFonts w:ascii="Times New Roman" w:hAnsi="Times New Roman" w:cs="Times New Roman"/>
          <w:sz w:val="28"/>
          <w:szCs w:val="28"/>
        </w:rPr>
        <w:t>21.03.2018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258F3">
        <w:rPr>
          <w:rFonts w:ascii="Times New Roman" w:hAnsi="Times New Roman" w:cs="Times New Roman"/>
          <w:sz w:val="28"/>
          <w:szCs w:val="28"/>
        </w:rPr>
        <w:t>183/20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5258F3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BD29E3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6529D5" w:rsidRPr="00135A18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18">
        <w:rPr>
          <w:rFonts w:ascii="Times New Roman" w:hAnsi="Times New Roman" w:cs="Times New Roman"/>
          <w:sz w:val="28"/>
          <w:szCs w:val="28"/>
        </w:rPr>
        <w:t>3. Опубликовать настоящее Решение в средствах массовой информации.</w:t>
      </w:r>
    </w:p>
    <w:p w:rsidR="006529D5" w:rsidRPr="00BD29E3" w:rsidRDefault="006529D5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A1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35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5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                          (Уханов А.И.).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</w:t>
      </w:r>
      <w:r w:rsidR="00291B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В.П.</w:t>
      </w:r>
      <w:r w:rsidR="00291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</w:t>
      </w:r>
      <w:r w:rsidR="00291B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С.Н.</w:t>
      </w:r>
      <w:r w:rsidR="0029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Антонов</w:t>
      </w:r>
    </w:p>
    <w:p w:rsidR="006529D5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B84" w:rsidRDefault="006529D5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63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C56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B84" w:rsidRDefault="00291B84" w:rsidP="001C1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Pr="00882BBB" w:rsidRDefault="006529D5" w:rsidP="00291B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>Утверждено</w:t>
      </w:r>
    </w:p>
    <w:p w:rsidR="006529D5" w:rsidRPr="00882BBB" w:rsidRDefault="006529D5" w:rsidP="001C17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82BBB">
        <w:rPr>
          <w:rFonts w:ascii="Times New Roman" w:hAnsi="Times New Roman" w:cs="Times New Roman"/>
          <w:sz w:val="24"/>
          <w:szCs w:val="24"/>
        </w:rPr>
        <w:t xml:space="preserve">         Решением Совета депутатов</w:t>
      </w:r>
    </w:p>
    <w:p w:rsidR="006529D5" w:rsidRPr="00882BBB" w:rsidRDefault="006529D5" w:rsidP="001C17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2BBB">
        <w:rPr>
          <w:rFonts w:ascii="Times New Roman" w:hAnsi="Times New Roman" w:cs="Times New Roman"/>
          <w:sz w:val="24"/>
          <w:szCs w:val="24"/>
        </w:rPr>
        <w:t xml:space="preserve">         городского округа Люберцы</w:t>
      </w:r>
    </w:p>
    <w:p w:rsidR="006529D5" w:rsidRPr="00882BBB" w:rsidRDefault="006529D5" w:rsidP="008C56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82BBB">
        <w:rPr>
          <w:rFonts w:ascii="Times New Roman" w:hAnsi="Times New Roman" w:cs="Times New Roman"/>
          <w:sz w:val="24"/>
          <w:szCs w:val="24"/>
        </w:rPr>
        <w:t>от</w:t>
      </w:r>
      <w:r w:rsidR="00291B84">
        <w:rPr>
          <w:rFonts w:ascii="Times New Roman" w:hAnsi="Times New Roman" w:cs="Times New Roman"/>
          <w:sz w:val="24"/>
          <w:szCs w:val="24"/>
        </w:rPr>
        <w:t xml:space="preserve"> 19.12.2018 № 265/30</w:t>
      </w:r>
    </w:p>
    <w:p w:rsidR="006529D5" w:rsidRPr="008C5636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5A088F">
        <w:rPr>
          <w:rFonts w:ascii="Times New Roman" w:hAnsi="Times New Roman" w:cs="Times New Roman"/>
          <w:sz w:val="28"/>
          <w:szCs w:val="28"/>
        </w:rPr>
        <w:t>ПОЛОЖЕНИЕ</w:t>
      </w:r>
    </w:p>
    <w:p w:rsidR="006529D5" w:rsidRPr="005A088F" w:rsidRDefault="006529D5" w:rsidP="0018176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  городского округа Люберцы Московской области</w:t>
      </w:r>
    </w:p>
    <w:p w:rsidR="006529D5" w:rsidRPr="005A088F" w:rsidRDefault="006529D5" w:rsidP="00626F28">
      <w:pPr>
        <w:pStyle w:val="ConsPlusTitle"/>
        <w:spacing w:line="276" w:lineRule="auto"/>
        <w:jc w:val="center"/>
      </w:pPr>
      <w:r w:rsidRPr="005A088F">
        <w:t xml:space="preserve"> </w:t>
      </w:r>
    </w:p>
    <w:p w:rsidR="006529D5" w:rsidRPr="00AA3B5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A3B55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1.1. Настоящее Положение о</w:t>
      </w:r>
      <w:r>
        <w:rPr>
          <w:rFonts w:ascii="Times New Roman" w:hAnsi="Times New Roman" w:cs="Times New Roman"/>
          <w:sz w:val="28"/>
          <w:szCs w:val="28"/>
        </w:rPr>
        <w:t>б обеспечивающих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должностях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Люберцы Московской области </w:t>
      </w:r>
      <w:r w:rsidRPr="005A088F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разработано в соответствии с Трудовым </w:t>
      </w:r>
      <w:hyperlink r:id="rId9" w:history="1">
        <w:r w:rsidRPr="000A3C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0A3C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A3C8B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r w:rsidRPr="000A3C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C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A3C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3C8B">
        <w:rPr>
          <w:rFonts w:ascii="Times New Roman" w:hAnsi="Times New Roman" w:cs="Times New Roman"/>
          <w:sz w:val="28"/>
          <w:szCs w:val="28"/>
        </w:rPr>
        <w:t xml:space="preserve"> 573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3C8B">
        <w:rPr>
          <w:rFonts w:ascii="Times New Roman" w:hAnsi="Times New Roman" w:cs="Times New Roman"/>
          <w:sz w:val="28"/>
          <w:szCs w:val="28"/>
        </w:rPr>
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3C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A3C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A3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(далее – </w:t>
      </w:r>
      <w:r w:rsidRPr="00135A18">
        <w:rPr>
          <w:rFonts w:ascii="Times New Roman" w:hAnsi="Times New Roman" w:cs="Times New Roman"/>
          <w:sz w:val="28"/>
          <w:szCs w:val="28"/>
        </w:rPr>
        <w:t>городской округ Люберцы) и иными муниципальными правовыми актами городского округа Люберцы.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1.2. Настоящее Положение распространяется на лиц, занимающих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не относящиеся к должностям муниципальной службы и муниципальным должностям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1.3. Настоящее Положение устанавливает перечень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Pr="005A088F">
        <w:rPr>
          <w:rFonts w:ascii="Times New Roman" w:hAnsi="Times New Roman" w:cs="Times New Roman"/>
          <w:sz w:val="28"/>
          <w:szCs w:val="28"/>
        </w:rPr>
        <w:t>должностей, состав денежного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этих работников,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установления размера и выплаты денежного содержания</w:t>
      </w:r>
      <w:r>
        <w:rPr>
          <w:rFonts w:ascii="Times New Roman" w:hAnsi="Times New Roman" w:cs="Times New Roman"/>
          <w:sz w:val="28"/>
          <w:szCs w:val="28"/>
        </w:rPr>
        <w:t>, размер и порядок предоставления ежегодного основного оплачиваемого и дополнительного оплачиваемого отпусков, порядок и условия расчета стажа для выслуги лет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1.4. Выплата должностного оклада, </w:t>
      </w:r>
      <w:r>
        <w:rPr>
          <w:rFonts w:ascii="Times New Roman" w:hAnsi="Times New Roman" w:cs="Times New Roman"/>
          <w:sz w:val="28"/>
          <w:szCs w:val="28"/>
        </w:rPr>
        <w:t xml:space="preserve">ежемесячных, дополнительных выплат </w:t>
      </w:r>
      <w:r w:rsidRPr="005A088F">
        <w:rPr>
          <w:rFonts w:ascii="Times New Roman" w:hAnsi="Times New Roman" w:cs="Times New Roman"/>
          <w:sz w:val="28"/>
          <w:szCs w:val="28"/>
        </w:rPr>
        <w:t xml:space="preserve">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291B84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Pr="005A088F">
        <w:rPr>
          <w:rFonts w:ascii="Times New Roman" w:hAnsi="Times New Roman" w:cs="Times New Roman"/>
          <w:sz w:val="28"/>
          <w:szCs w:val="28"/>
        </w:rPr>
        <w:t xml:space="preserve">производится в пределах фонда оплаты труда, предусмотренного на содержание соответствующего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органа администрации городского округа Люберцы, </w:t>
      </w:r>
      <w:r w:rsidRPr="005A088F">
        <w:rPr>
          <w:rFonts w:ascii="Times New Roman" w:hAnsi="Times New Roman" w:cs="Times New Roman"/>
          <w:sz w:val="28"/>
          <w:szCs w:val="28"/>
        </w:rPr>
        <w:t>наделенного правами юридического лица (далее - орган администрации с правами юридического лица).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1.5. Работники, занимающие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имеют право на дополнительное профессиональное образование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A3B55">
        <w:rPr>
          <w:rFonts w:ascii="Times New Roman" w:hAnsi="Times New Roman" w:cs="Times New Roman"/>
          <w:b/>
          <w:sz w:val="28"/>
          <w:szCs w:val="28"/>
        </w:rPr>
        <w:t>. Основные термины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обеспечивающие должности – должности в органах местного самоуправления городского округа Люберцы, </w:t>
      </w:r>
      <w:r w:rsidRPr="005A088F">
        <w:rPr>
          <w:rFonts w:ascii="Times New Roman" w:hAnsi="Times New Roman" w:cs="Times New Roman"/>
          <w:sz w:val="28"/>
          <w:szCs w:val="28"/>
        </w:rPr>
        <w:t>не относящиеся к должностям муниципальной службы и муниципальным должностям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денежное содержание - вид оплаты труда работников, занимающих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 и применяемый для расчета должностных окладов в органах государственной власти</w:t>
      </w:r>
      <w:r w:rsidRPr="00AA6671">
        <w:rPr>
          <w:rFonts w:ascii="Times New Roman" w:hAnsi="Times New Roman" w:cs="Times New Roman"/>
          <w:sz w:val="28"/>
          <w:szCs w:val="28"/>
        </w:rPr>
        <w:t>, государственных органах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88F">
        <w:rPr>
          <w:rFonts w:ascii="Times New Roman" w:hAnsi="Times New Roman" w:cs="Times New Roman"/>
          <w:sz w:val="28"/>
          <w:szCs w:val="28"/>
        </w:rPr>
        <w:t>и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B55">
        <w:rPr>
          <w:rFonts w:ascii="Times New Roman" w:hAnsi="Times New Roman" w:cs="Times New Roman"/>
          <w:b/>
          <w:sz w:val="28"/>
          <w:szCs w:val="28"/>
        </w:rPr>
        <w:t xml:space="preserve">. Денежное содержание </w:t>
      </w:r>
    </w:p>
    <w:p w:rsidR="006529D5" w:rsidRPr="005A088F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3.1. Денежное содержание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A088F">
        <w:rPr>
          <w:rFonts w:ascii="Times New Roman" w:hAnsi="Times New Roman" w:cs="Times New Roman"/>
          <w:sz w:val="28"/>
          <w:szCs w:val="28"/>
        </w:rPr>
        <w:t>, занимающ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088F">
        <w:rPr>
          <w:rFonts w:ascii="Times New Roman" w:hAnsi="Times New Roman" w:cs="Times New Roman"/>
          <w:sz w:val="28"/>
          <w:szCs w:val="28"/>
        </w:rPr>
        <w:t>, состоит из должностного оклада в соответствии с замещаемой им должностью, ежемесячных и дополнительных выплат.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3.1.1. Ежемесячные выплаты включают в себя: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а) надбавку к должностному окладу за сложность, напряженность труда,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специальный режим работы;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надбавку к должностному окладу за выслугу лет;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A088F">
        <w:rPr>
          <w:rFonts w:ascii="Times New Roman" w:hAnsi="Times New Roman" w:cs="Times New Roman"/>
          <w:sz w:val="28"/>
          <w:szCs w:val="28"/>
        </w:rPr>
        <w:t>надбавку к должностному окладу за работу</w:t>
      </w:r>
      <w:r>
        <w:rPr>
          <w:rFonts w:ascii="Times New Roman" w:hAnsi="Times New Roman" w:cs="Times New Roman"/>
          <w:sz w:val="28"/>
          <w:szCs w:val="28"/>
        </w:rPr>
        <w:t xml:space="preserve"> со сведениями</w:t>
      </w:r>
      <w:r w:rsidRPr="005A08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составляющими государственную тайну</w:t>
      </w:r>
      <w:r w:rsidRPr="005A088F">
        <w:rPr>
          <w:rFonts w:ascii="Times New Roman" w:hAnsi="Times New Roman" w:cs="Times New Roman"/>
          <w:sz w:val="28"/>
          <w:szCs w:val="28"/>
        </w:rPr>
        <w:t>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A088F">
        <w:rPr>
          <w:rFonts w:ascii="Times New Roman" w:hAnsi="Times New Roman" w:cs="Times New Roman"/>
          <w:sz w:val="28"/>
          <w:szCs w:val="28"/>
        </w:rPr>
        <w:t xml:space="preserve">надбавку к должностному окладу за стаж работы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защиты </w:t>
      </w:r>
      <w:r w:rsidRPr="005A088F">
        <w:rPr>
          <w:rFonts w:ascii="Times New Roman" w:hAnsi="Times New Roman" w:cs="Times New Roman"/>
          <w:sz w:val="28"/>
          <w:szCs w:val="28"/>
        </w:rPr>
        <w:t>государственной тайны;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д) ежемесячное денежное поощрение.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5A088F">
        <w:rPr>
          <w:rFonts w:ascii="Times New Roman" w:hAnsi="Times New Roman" w:cs="Times New Roman"/>
          <w:sz w:val="28"/>
          <w:szCs w:val="28"/>
        </w:rPr>
        <w:t>3.1.2. Дополнительные выплаты включают в себя: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5A088F">
        <w:rPr>
          <w:rFonts w:ascii="Times New Roman" w:hAnsi="Times New Roman" w:cs="Times New Roman"/>
          <w:sz w:val="28"/>
          <w:szCs w:val="28"/>
        </w:rPr>
        <w:t>а) дополнительные выплаты стимулирующего характера;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материальную помощь при предоставлении е</w:t>
      </w:r>
      <w:r>
        <w:rPr>
          <w:rFonts w:ascii="Times New Roman" w:hAnsi="Times New Roman" w:cs="Times New Roman"/>
          <w:sz w:val="28"/>
          <w:szCs w:val="28"/>
        </w:rPr>
        <w:t>жегодного оплачиваемого отпуска.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3.1.3.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осуществляющим свою деятельность по совместительству, дополнительные выплаты, предусмотренные </w:t>
      </w:r>
      <w:hyperlink w:anchor="P72" w:history="1">
        <w:r w:rsidRPr="00AA3B55">
          <w:rPr>
            <w:rFonts w:ascii="Times New Roman" w:hAnsi="Times New Roman" w:cs="Times New Roman"/>
            <w:sz w:val="28"/>
            <w:szCs w:val="28"/>
          </w:rPr>
          <w:t>пунктом 3.1.2</w:t>
        </w:r>
      </w:hyperlink>
      <w:r w:rsidRPr="00AA3B55">
        <w:rPr>
          <w:rFonts w:ascii="Times New Roman" w:hAnsi="Times New Roman" w:cs="Times New Roman"/>
          <w:sz w:val="28"/>
          <w:szCs w:val="28"/>
        </w:rPr>
        <w:t xml:space="preserve">, не производятся, за исключением выплат, предусмотренных </w:t>
      </w:r>
      <w:hyperlink w:anchor="P73" w:history="1">
        <w:r w:rsidRPr="00AA3B5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AA3B55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5A18">
        <w:rPr>
          <w:rFonts w:ascii="Times New Roman" w:hAnsi="Times New Roman" w:cs="Times New Roman"/>
          <w:sz w:val="28"/>
          <w:szCs w:val="28"/>
        </w:rPr>
        <w:t>указанного пункта.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AA3B55" w:rsidRDefault="006529D5" w:rsidP="000A4D8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B55">
        <w:rPr>
          <w:rFonts w:ascii="Times New Roman" w:hAnsi="Times New Roman" w:cs="Times New Roman"/>
          <w:b/>
          <w:sz w:val="28"/>
          <w:szCs w:val="28"/>
        </w:rPr>
        <w:t xml:space="preserve">4. Должностные оклады 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4.1. Должностные оклады работникам, занимающим </w:t>
      </w:r>
      <w:r>
        <w:rPr>
          <w:rFonts w:ascii="Times New Roman" w:hAnsi="Times New Roman" w:cs="Times New Roman"/>
          <w:sz w:val="28"/>
          <w:szCs w:val="28"/>
        </w:rPr>
        <w:t>обеспечивающие должности</w:t>
      </w:r>
      <w:r w:rsidRPr="005A088F">
        <w:rPr>
          <w:rFonts w:ascii="Times New Roman" w:hAnsi="Times New Roman" w:cs="Times New Roman"/>
          <w:sz w:val="28"/>
          <w:szCs w:val="28"/>
        </w:rPr>
        <w:t xml:space="preserve">, устанавливаются в размерах, кратных должностному окладу специалиста II категории в соответствии с таблицей </w:t>
      </w:r>
      <w:hyperlink w:anchor="P238" w:history="1">
        <w:r w:rsidRPr="00AA3B55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должностей в органах местного самоуправления городского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 xml:space="preserve">и коэффициентов, применяемых при исчислении должностных окладов работников, занимающих эти должности (далее - Перечень)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088F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5. Надбавка к должностному окладу за сложность,</w:t>
      </w: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напряженность труда, специальный режим работы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5.1. Надбавка к должностному окладу за сложность, напряженность труда, специальный режим работы (далее - надбавка за особые условия труда)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устанавливается в размере до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 и выплачивается ежемесячно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выплатой заработной платы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626F28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по доле межбюджетных трансфертов удовлетворяет требованиям </w:t>
      </w:r>
      <w:hyperlink r:id="rId13" w:history="1">
        <w:r w:rsidRPr="00626F28">
          <w:rPr>
            <w:rFonts w:ascii="Times New Roman" w:hAnsi="Times New Roman" w:cs="Times New Roman"/>
            <w:color w:val="000000"/>
            <w:sz w:val="28"/>
            <w:szCs w:val="28"/>
          </w:rPr>
          <w:t>пункта 2 статьи 136</w:t>
        </w:r>
      </w:hyperlink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надбавка к должностному окладу за особые условия труда выплачивается в пределах установленного фонда оплаты и размером может не ограничиваться.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>
        <w:rPr>
          <w:rFonts w:ascii="Times New Roman" w:hAnsi="Times New Roman" w:cs="Times New Roman"/>
          <w:sz w:val="28"/>
          <w:szCs w:val="28"/>
        </w:rPr>
        <w:t>Руководитель соответствующего органа местного самоуправления 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своим решением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5A088F">
        <w:rPr>
          <w:rFonts w:ascii="Times New Roman" w:hAnsi="Times New Roman" w:cs="Times New Roman"/>
          <w:sz w:val="28"/>
          <w:szCs w:val="28"/>
        </w:rPr>
        <w:t xml:space="preserve">устанавливает размер надбавки за особые условия труда каждому работнику, занимающему </w:t>
      </w:r>
      <w:r>
        <w:rPr>
          <w:rFonts w:ascii="Times New Roman" w:hAnsi="Times New Roman" w:cs="Times New Roman"/>
          <w:sz w:val="28"/>
          <w:szCs w:val="28"/>
        </w:rPr>
        <w:t>обеспечивающую должность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5.3. Надбавка за особые условия труда выплачивается на основании распоряжения.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088F">
        <w:rPr>
          <w:rFonts w:ascii="Times New Roman" w:hAnsi="Times New Roman" w:cs="Times New Roman"/>
          <w:sz w:val="28"/>
          <w:szCs w:val="28"/>
        </w:rPr>
        <w:t>. Выплата надбавки за особые условия труда производится ежемесячно в пределах фонда оплаты труда, предусмотренного на содержание органа местного самоуправления, органа администрации с правами юридического лица, со дня возникновения права на надбавку или со дня изменения ее размера.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 xml:space="preserve">. Надбавка за особые условия труда выплачивается за фактически отработанное время в отчетном периоде. Время нахождения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88F">
        <w:rPr>
          <w:rFonts w:ascii="Times New Roman" w:hAnsi="Times New Roman" w:cs="Times New Roman"/>
          <w:sz w:val="28"/>
          <w:szCs w:val="28"/>
        </w:rPr>
        <w:t xml:space="preserve"> в командировке включается в расчет фактически отработанного времени за отчетный период.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6. Надбавка к должностному окладу за выслугу лет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6.1. Надбавка к должностному окладу за выслугу лет (далее - надбавка за выслугу лет) устанавливается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в зависимости от стажа работы в органах государственной власти и управления, органах местного самоуправления, а также на иных должностях</w:t>
      </w:r>
      <w:r>
        <w:rPr>
          <w:rFonts w:ascii="Times New Roman" w:hAnsi="Times New Roman" w:cs="Times New Roman"/>
          <w:sz w:val="28"/>
          <w:szCs w:val="28"/>
        </w:rPr>
        <w:t xml:space="preserve"> – аналогично исчислению стажа муниципальной службы для муниципальных служащих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стаж работы для выслуги лет работникам, занимающим обеспечивающие должности, включаются периоды работы на обеспечивающих должностях в органах местного самоуправления.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88F">
        <w:rPr>
          <w:rFonts w:ascii="Times New Roman" w:hAnsi="Times New Roman" w:cs="Times New Roman"/>
          <w:sz w:val="28"/>
          <w:szCs w:val="28"/>
        </w:rPr>
        <w:t>. Надбавка за выслугу лет в зависимости от стажа работы в органах государственной власти и управления и в органах местного самоуправления (далее - стаж работы) устанавливается в следующих размерах: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6529D5" w:rsidRPr="000848E5" w:rsidTr="00762E00">
        <w:tc>
          <w:tcPr>
            <w:tcW w:w="3402" w:type="dxa"/>
          </w:tcPr>
          <w:p w:rsidR="006529D5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</w:p>
          <w:p w:rsidR="006529D5" w:rsidRPr="005A088F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полных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 в процентном отношении к должностному окладу (%)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268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 xml:space="preserve">От 1 до 5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 до 10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10 до 15 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9D5" w:rsidRPr="000848E5" w:rsidTr="00762E00">
        <w:tc>
          <w:tcPr>
            <w:tcW w:w="3402" w:type="dxa"/>
          </w:tcPr>
          <w:p w:rsidR="006529D5" w:rsidRPr="005A088F" w:rsidRDefault="006529D5" w:rsidP="005A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402" w:type="dxa"/>
          </w:tcPr>
          <w:p w:rsidR="006529D5" w:rsidRPr="005A088F" w:rsidRDefault="006529D5" w:rsidP="00762E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088F">
        <w:rPr>
          <w:rFonts w:ascii="Times New Roman" w:hAnsi="Times New Roman" w:cs="Times New Roman"/>
          <w:sz w:val="28"/>
          <w:szCs w:val="28"/>
        </w:rPr>
        <w:t>. Надбавка к должностному окладу за выслугу лет выплачивается ежемесячно со дня возникновения права на нее. Размер надбавки к должностному окладу за выслугу лет подлежит изменению со дня достижения стажа работы соответственно 5, 10 и 15 полных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88F">
        <w:rPr>
          <w:rFonts w:ascii="Times New Roman" w:hAnsi="Times New Roman" w:cs="Times New Roman"/>
          <w:sz w:val="28"/>
          <w:szCs w:val="28"/>
        </w:rPr>
        <w:t>Если право на установление или изменение размера ежемесячной надбавки к должностному окладу за выслугу лет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устанавливается со дня, следующего за днем окончания указанного периода.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>. Надбавка выплачивается за фактически отработанное время в отчетном периоде.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7. Надбавка к должностному окладу за работу</w:t>
      </w:r>
    </w:p>
    <w:p w:rsidR="006529D5" w:rsidRPr="00E652F2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F2">
        <w:rPr>
          <w:rFonts w:ascii="Times New Roman" w:hAnsi="Times New Roman" w:cs="Times New Roman"/>
          <w:b/>
          <w:sz w:val="28"/>
          <w:szCs w:val="28"/>
        </w:rPr>
        <w:t>со сведениями, составляющими государственную тайну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7.1. Надбавка к должностному окладу за работу со сведениями, составляющими государственную тайну, устанавливается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>должности, допущенным к государственной тайне на постоянной основе и имеющим документально подтвержденный доступ</w:t>
      </w:r>
      <w:r>
        <w:rPr>
          <w:rFonts w:ascii="Times New Roman" w:hAnsi="Times New Roman" w:cs="Times New Roman"/>
          <w:sz w:val="28"/>
          <w:szCs w:val="28"/>
        </w:rPr>
        <w:t xml:space="preserve"> к таким сведениям</w:t>
      </w:r>
      <w:r w:rsidRPr="005A088F">
        <w:rPr>
          <w:rFonts w:ascii="Times New Roman" w:hAnsi="Times New Roman" w:cs="Times New Roman"/>
          <w:sz w:val="28"/>
          <w:szCs w:val="28"/>
        </w:rPr>
        <w:t xml:space="preserve"> на законных основаниях.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7.2. Надбавка за работу со сведениями, составляющими государственную тайну, устанавливается </w:t>
      </w:r>
      <w:r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и выплачивается в следующих размерах: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а)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>, - 50-75 процентов к должностному окладу;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б)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>, - 30-50 процентов к должностному окладу;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в)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 оформлении допуска с проведением проверочных мероприятий, - 10-15 процентов к должностному окладу;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г)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88F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088F">
        <w:rPr>
          <w:rFonts w:ascii="Times New Roman" w:hAnsi="Times New Roman" w:cs="Times New Roman"/>
          <w:sz w:val="28"/>
          <w:szCs w:val="28"/>
        </w:rPr>
        <w:t xml:space="preserve"> без проведения проверочных мероприятий, - 5-10 процентов к должностному окладу.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При определении размера ежемесячной процентной надбавки учитывается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7.3. Надбавка выплачивается за фактически отработанное время в отчетном периоде.</w:t>
      </w:r>
    </w:p>
    <w:p w:rsidR="006529D5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8. Надбавка к должностному окладу за стаж работы</w:t>
      </w: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по обеспечению защиты государственной тайны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8.1.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5A088F">
        <w:rPr>
          <w:rFonts w:ascii="Times New Roman" w:hAnsi="Times New Roman" w:cs="Times New Roman"/>
          <w:sz w:val="28"/>
          <w:szCs w:val="28"/>
        </w:rPr>
        <w:t>выплачиват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A088F">
        <w:rPr>
          <w:rFonts w:ascii="Times New Roman" w:hAnsi="Times New Roman" w:cs="Times New Roman"/>
          <w:sz w:val="28"/>
          <w:szCs w:val="28"/>
        </w:rPr>
        <w:t>ся ежемесячная надбавка к должностному окладу за стаж работы по обеспечению защиты государственной тайны.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8.2. Надбавка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органа местного </w:t>
      </w:r>
      <w:r w:rsidRPr="00135A18">
        <w:rPr>
          <w:rFonts w:ascii="Times New Roman" w:hAnsi="Times New Roman" w:cs="Times New Roman"/>
          <w:sz w:val="28"/>
          <w:szCs w:val="28"/>
        </w:rPr>
        <w:t>самоуправления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Pr="005A088F">
        <w:rPr>
          <w:rFonts w:ascii="Times New Roman" w:hAnsi="Times New Roman" w:cs="Times New Roman"/>
          <w:sz w:val="28"/>
          <w:szCs w:val="28"/>
        </w:rPr>
        <w:t>и составляет: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а) при стаже работы от 1 до 5 лет - 10 процентов должностного оклада;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при стаже работы от 5 до 10 лет - 15 процентов должностного оклада;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в) при стаже работы от 10 лет и выше - 20 процентов должностного оклада.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В стаж работы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органов государственной власти, органов местного самоуправления и организаций.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8.3. Надбавка выплачивается за фактически отработанное время в отчетном периоде.</w:t>
      </w: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9. Ежемесячное денежное поощрение</w:t>
      </w:r>
    </w:p>
    <w:p w:rsidR="006529D5" w:rsidRPr="005A088F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9.1. Ежемесячное денежное поощрение выплачивается каждому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по конечным результатам труда за отработанный месяц.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9.2. Ежемесячное денежное поощрение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осуществляется при условии достижения следующих показателей оценки результатов труда: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а) участие работника в решении стоящих перед органом местного самоуправления, органом администрации с правами юридического лица задач и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</w:t>
      </w:r>
      <w:r w:rsidRPr="005A088F">
        <w:rPr>
          <w:rFonts w:ascii="Times New Roman" w:hAnsi="Times New Roman" w:cs="Times New Roman"/>
          <w:sz w:val="28"/>
          <w:szCs w:val="28"/>
        </w:rPr>
        <w:t xml:space="preserve"> функций;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б) участие работника в решении вопросов, не входящих в его должностные обязанности;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в) достижение высоких результатов труда за счет профессиональной компетенции при решении соответствующих вопросов;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г) содержание в исправном состоянии и надлежащем порядке вверенного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работнику имущества;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д) повышение производительности труда за счет внедрения передовых форм и методов работы;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е) проявление инициативы, творчества в решении рассматриваемых вопросов;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ж) рациональное использование материальных ресурсов;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з) соблюдение трудовой дисциплины и правил внутреннего трудового распорядка, требований правил и норм по охране труда.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При определении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размера ежемесячного денежного поощрения должностные лица органов местного самоуправления, органов администрации с правами юридического лица имеют право применять иные показатели оценки результатов труда, связанные с исполнением этим работником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A088F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9.3. Решение о конкретном размере ежемесячного денежного поощрения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должность, и о его выплате принимает </w:t>
      </w:r>
      <w:r>
        <w:rPr>
          <w:rFonts w:ascii="Times New Roman" w:hAnsi="Times New Roman" w:cs="Times New Roman"/>
          <w:sz w:val="28"/>
          <w:szCs w:val="28"/>
        </w:rPr>
        <w:t>руководитель соответствующего органа местного самоуправления 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 представлении предложения непосредственного руководителя этого работника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 вышестоящим руководителем.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9.4. Выплата ежемесячного денежного поощрения производится в пределах фонда оплаты труда, предусмотренного на содержание соответствующего органа местного самоуправления, органа администрации с правами юридического лица.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9.5. Размер ежемесячного денежного поощрения может составлять до 70 процентов должностного оклада.</w:t>
      </w:r>
    </w:p>
    <w:p w:rsidR="006529D5" w:rsidRPr="00626F28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по доле межбюджетных трансфертов удовлетворяет требованиям </w:t>
      </w:r>
      <w:hyperlink r:id="rId14" w:history="1">
        <w:r w:rsidRPr="00626F28">
          <w:rPr>
            <w:rFonts w:ascii="Times New Roman" w:hAnsi="Times New Roman" w:cs="Times New Roman"/>
            <w:color w:val="000000"/>
            <w:sz w:val="28"/>
            <w:szCs w:val="28"/>
          </w:rPr>
          <w:t>пункта 2 статьи 136</w:t>
        </w:r>
      </w:hyperlink>
      <w:r w:rsidRPr="00626F28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ежемесячное денежное поощрение работнику выплачивается в пределах установленного фонда оплаты и размером может не ограничиваться.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9.6. Ежемесячное денежное поощрение по настоящему Положению выплачивается по результатам работы в отчетном периоде за фактически отработанное время. Время нахождения работника, занимающего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в командировке включается в расчет фактически отработанного времени за отчетный период.</w:t>
      </w:r>
    </w:p>
    <w:p w:rsidR="006529D5" w:rsidRPr="00A600A8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3110A7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A7">
        <w:rPr>
          <w:rFonts w:ascii="Times New Roman" w:hAnsi="Times New Roman" w:cs="Times New Roman"/>
          <w:b/>
          <w:sz w:val="28"/>
          <w:szCs w:val="28"/>
        </w:rPr>
        <w:t>10. Дополнительные выплаты стимулирующего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гарантии</w:t>
      </w:r>
    </w:p>
    <w:p w:rsidR="006529D5" w:rsidRPr="00A600A8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10.1. За выполнение сложных заданий, а также в целях повышения эффективности и качества труда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lastRenderedPageBreak/>
        <w:t>должность, могут осуществляться дополнительные 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5A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премия по итогам работы за истекший период (3 мес., 6 мес., 1 год);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премия за выполнение важного задания. 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10.2. Выплата производится </w:t>
      </w:r>
      <w:r w:rsidR="005258F3">
        <w:rPr>
          <w:rFonts w:ascii="Times New Roman" w:hAnsi="Times New Roman" w:cs="Times New Roman"/>
          <w:sz w:val="28"/>
          <w:szCs w:val="28"/>
        </w:rPr>
        <w:t>в пределах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средств, предусмотренн</w:t>
      </w:r>
      <w:r w:rsidR="005258F3">
        <w:rPr>
          <w:rFonts w:ascii="Times New Roman" w:hAnsi="Times New Roman" w:cs="Times New Roman"/>
          <w:sz w:val="28"/>
          <w:szCs w:val="28"/>
        </w:rPr>
        <w:t>ых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на содержание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лица.</w:t>
      </w:r>
    </w:p>
    <w:p w:rsidR="006529D5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Для расчета </w:t>
      </w:r>
      <w:r>
        <w:rPr>
          <w:rFonts w:ascii="Times New Roman" w:hAnsi="Times New Roman" w:cs="Times New Roman"/>
          <w:sz w:val="28"/>
          <w:szCs w:val="28"/>
        </w:rPr>
        <w:t>размера выплаты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принимается размер должностного оклада, установленный на момент назначения выплаты.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10.3. </w:t>
      </w:r>
      <w:r>
        <w:rPr>
          <w:rFonts w:ascii="Times New Roman" w:hAnsi="Times New Roman" w:cs="Times New Roman"/>
          <w:sz w:val="28"/>
          <w:szCs w:val="28"/>
        </w:rPr>
        <w:t>Премия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по итогам работы за год выплачивается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по решению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соответствующего органа местного самоуправления городского округа Люберцы </w:t>
      </w:r>
      <w:r w:rsidRPr="005A088F">
        <w:rPr>
          <w:rFonts w:ascii="Times New Roman" w:hAnsi="Times New Roman" w:cs="Times New Roman"/>
          <w:sz w:val="28"/>
          <w:szCs w:val="28"/>
        </w:rPr>
        <w:t>с учетом результатов деятельности органа местного самоуправления, органа администрации с правами юридического лица.</w:t>
      </w:r>
    </w:p>
    <w:p w:rsidR="006529D5" w:rsidRPr="005A088F" w:rsidRDefault="006529D5" w:rsidP="005A08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Основанием для выплаты является распоряжение.</w:t>
      </w:r>
    </w:p>
    <w:p w:rsidR="006529D5" w:rsidRPr="005A088F" w:rsidRDefault="006529D5" w:rsidP="00185C7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10.4.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проработавшим неполный календарный год, за который выплачивается </w:t>
      </w:r>
      <w:r>
        <w:rPr>
          <w:rFonts w:ascii="Times New Roman" w:hAnsi="Times New Roman" w:cs="Times New Roman"/>
          <w:sz w:val="28"/>
          <w:szCs w:val="28"/>
        </w:rPr>
        <w:t xml:space="preserve">премия </w:t>
      </w:r>
      <w:r w:rsidRPr="005A088F">
        <w:rPr>
          <w:rFonts w:ascii="Times New Roman" w:hAnsi="Times New Roman" w:cs="Times New Roman"/>
          <w:sz w:val="28"/>
          <w:szCs w:val="28"/>
        </w:rPr>
        <w:t xml:space="preserve">(в том числе в случае временной нетрудоспособности, в случае использования отпуска без сохранения заработной платы и отпуска по уходу за ребенком), выплата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5A088F">
        <w:rPr>
          <w:rFonts w:ascii="Times New Roman" w:hAnsi="Times New Roman" w:cs="Times New Roman"/>
          <w:sz w:val="28"/>
          <w:szCs w:val="28"/>
        </w:rPr>
        <w:t xml:space="preserve"> производится пропорционально фактически отработанному времени в данном календарном году.</w:t>
      </w:r>
    </w:p>
    <w:p w:rsidR="006529D5" w:rsidRPr="005A088F" w:rsidRDefault="006529D5" w:rsidP="00185C7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 xml:space="preserve">10.5. Работникам,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A088F">
        <w:rPr>
          <w:rFonts w:ascii="Times New Roman" w:hAnsi="Times New Roman" w:cs="Times New Roman"/>
          <w:sz w:val="28"/>
          <w:szCs w:val="28"/>
        </w:rPr>
        <w:t xml:space="preserve">должности, уволившимся в течение отчетного года, </w:t>
      </w:r>
      <w:r>
        <w:rPr>
          <w:rFonts w:ascii="Times New Roman" w:hAnsi="Times New Roman" w:cs="Times New Roman"/>
          <w:sz w:val="28"/>
          <w:szCs w:val="28"/>
        </w:rPr>
        <w:t>премия по итогам работы за год</w:t>
      </w:r>
      <w:r w:rsidRPr="005A088F">
        <w:rPr>
          <w:rFonts w:ascii="Times New Roman" w:hAnsi="Times New Roman" w:cs="Times New Roman"/>
          <w:sz w:val="28"/>
          <w:szCs w:val="28"/>
        </w:rPr>
        <w:t xml:space="preserve"> не выплачивается, за исключением увольнения в случае признания его полностью неспособным к трудовой деятельности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соответствии с медицинским заключением.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10.6. Работникам, занимающим обеспечивающие должности, устанавливаются следующие дополнительные гарантии:</w:t>
      </w:r>
    </w:p>
    <w:p w:rsidR="006529D5" w:rsidRDefault="006529D5" w:rsidP="00C51D5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право на ежегодную денежную выплату на лечение и отдых в размере и порядке, устанавливаемом Положением, утверждаемым постановлением Главы городского округа Люберцы;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выплаты при выходе на пенсию за выслугу лет, единовременного поощрения за безупречную и эффективную муниципальную службу в порядке, устанавливаемом Положением, утверждаемым постановлением Главы городского округа Люберцы;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выплаты социального характера, связанные с юбилейными и иными знаменательными датами, </w:t>
      </w:r>
      <w:r w:rsidR="005258F3">
        <w:rPr>
          <w:rFonts w:ascii="Times New Roman" w:hAnsi="Times New Roman"/>
          <w:sz w:val="28"/>
          <w:szCs w:val="28"/>
          <w:lang w:eastAsia="ru-RU"/>
        </w:rPr>
        <w:t xml:space="preserve">с заключением брака, </w:t>
      </w:r>
      <w:r>
        <w:rPr>
          <w:rFonts w:ascii="Times New Roman" w:hAnsi="Times New Roman"/>
          <w:sz w:val="28"/>
          <w:szCs w:val="28"/>
          <w:lang w:eastAsia="ru-RU"/>
        </w:rPr>
        <w:t xml:space="preserve">с рождением ребенка, стихийными бедствиями, смертью родственников (родители, супруги, братья, сестры), длительной (более 1 месяца подряд) болезнью работника, занимающего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обеспечивающую должность, и другими подобными обстоятельствами, производится в порядке, устанавливаемом Главой городского округа Люберцы;</w:t>
      </w:r>
    </w:p>
    <w:p w:rsidR="006529D5" w:rsidRDefault="006529D5" w:rsidP="00AF40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возмещение близким родственникам затрат, связанных с погребением работника, занимающего обеспечивающую должность, в порядке, устанавливаемом Главой городского округа Люберцы.</w:t>
      </w:r>
    </w:p>
    <w:p w:rsidR="006529D5" w:rsidRPr="00A600A8" w:rsidRDefault="006529D5" w:rsidP="00AF40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1E16A7" w:rsidRDefault="006529D5" w:rsidP="000151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A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16A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Отпуск работника, занимающего обеспечивающую должность</w:t>
      </w:r>
    </w:p>
    <w:p w:rsidR="006529D5" w:rsidRPr="00A600A8" w:rsidRDefault="006529D5" w:rsidP="000151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185C7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предоставляется ежегодный оплачиваемый отпуск.</w:t>
      </w:r>
    </w:p>
    <w:p w:rsidR="006529D5" w:rsidRPr="000151B8" w:rsidRDefault="006529D5" w:rsidP="00185C7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2. Ежегодный оплачиваемый отпуск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состоит из основного оплачиваемого отпуска и дополнительн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оплачиваем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3. Ежегодный основной оплачиваемый отпуск предоставляется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продолжительностью 30 календарных дней.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4"/>
      <w:bookmarkEnd w:id="4"/>
      <w:r>
        <w:rPr>
          <w:rFonts w:ascii="Times New Roman" w:hAnsi="Times New Roman"/>
          <w:sz w:val="28"/>
          <w:szCs w:val="28"/>
          <w:lang w:eastAsia="ru-RU"/>
        </w:rPr>
        <w:t>11.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предоставляется ежегодный дополнительный оплачиваемый отпуск за выслугу лет (далее - отпуск за выслугу лет), продолжительность которого исчисляется из расчета один календарный день за каждый год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, но не более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календарных дней.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Право на отпуск за выслугу лет соответствующей продолжительности возникает у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со дня достижения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, необходимого для его предоставления.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При отсутствии у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 права на ежегодный основной оплачиваемый отпуск в текущем календарном году отпуск за выслугу лет в этом году не предоставляется.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Отпуск за выслугу лет предоставляется в течение календарного года.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лет. Общая продолжительность ежегодного основного оплачиваемого отпуска и отпуска за выслугу лет не может превышать 4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календарных дней.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В случае пересчета неправомерно уменьшенного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работник, занимающий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вправе использовать не предоставленные ранее дни отпуска за выслугу лет, но не более чем за три года неправильного исчисления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Не предоставленные ранее дни отпуска за выслугу лет могут быть использованы </w:t>
      </w:r>
      <w:r>
        <w:rPr>
          <w:rFonts w:ascii="Times New Roman" w:hAnsi="Times New Roman"/>
          <w:sz w:val="28"/>
          <w:szCs w:val="28"/>
          <w:lang w:eastAsia="ru-RU"/>
        </w:rPr>
        <w:t>работником,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 течение календарного года, в котором принято решение о перерасчете неправомерно уменьшенного стажа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увольнении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выплачивается денежная компенсация за неиспользованный отпуск за выслугу лет пропорционально отработанному времени в текущем календарном году.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11.5.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 за выслугу лет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может быть перенесен на следующий календарный год: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1) по заявлению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с согласия соответствующего руководителя;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 xml:space="preserve">2) по инициативе соответствующего руководителя с согласия </w:t>
      </w:r>
      <w:r>
        <w:rPr>
          <w:rFonts w:ascii="Times New Roman" w:hAnsi="Times New Roman"/>
          <w:sz w:val="28"/>
          <w:szCs w:val="28"/>
          <w:lang w:eastAsia="ru-RU"/>
        </w:rPr>
        <w:t>работника, занимающего обеспечивающую должность</w:t>
      </w:r>
      <w:r w:rsidRPr="000151B8">
        <w:rPr>
          <w:rFonts w:ascii="Times New Roman" w:hAnsi="Times New Roman"/>
          <w:sz w:val="28"/>
          <w:szCs w:val="28"/>
          <w:lang w:eastAsia="ru-RU"/>
        </w:rPr>
        <w:t>.</w:t>
      </w:r>
    </w:p>
    <w:p w:rsidR="006529D5" w:rsidRPr="000151B8" w:rsidRDefault="006529D5" w:rsidP="00A600A8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1B8">
        <w:rPr>
          <w:rFonts w:ascii="Times New Roman" w:hAnsi="Times New Roman"/>
          <w:sz w:val="28"/>
          <w:szCs w:val="28"/>
          <w:lang w:eastAsia="ru-RU"/>
        </w:rPr>
        <w:t>Запрещается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отпуска за выслугу лет в течение двух лет подряд.</w:t>
      </w:r>
    </w:p>
    <w:p w:rsidR="006529D5" w:rsidRDefault="006529D5" w:rsidP="00A600A8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11.6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. По семейным обстоятельствам и иным уважительным причинам </w:t>
      </w:r>
      <w:r>
        <w:rPr>
          <w:rFonts w:ascii="Times New Roman" w:hAnsi="Times New Roman"/>
          <w:sz w:val="28"/>
          <w:szCs w:val="28"/>
          <w:lang w:eastAsia="ru-RU"/>
        </w:rPr>
        <w:t>работнику, занимающему обеспечивающую должность,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по его письменному заявлению решением </w:t>
      </w:r>
      <w:r>
        <w:rPr>
          <w:rFonts w:ascii="Times New Roman" w:hAnsi="Times New Roman"/>
          <w:sz w:val="28"/>
          <w:szCs w:val="28"/>
          <w:lang w:eastAsia="ru-RU"/>
        </w:rPr>
        <w:t>руководителя соответствующего органа местного самоуправления</w:t>
      </w:r>
      <w:r w:rsidRPr="000151B8">
        <w:rPr>
          <w:rFonts w:ascii="Times New Roman" w:hAnsi="Times New Roman"/>
          <w:sz w:val="28"/>
          <w:szCs w:val="28"/>
          <w:lang w:eastAsia="ru-RU"/>
        </w:rPr>
        <w:t xml:space="preserve"> может предоставляться отпуск без сохранения денежного содержания продолжительностью не более одного года.</w:t>
      </w:r>
    </w:p>
    <w:p w:rsidR="006529D5" w:rsidRPr="00A600A8" w:rsidRDefault="006529D5" w:rsidP="00A600A8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29D5" w:rsidRPr="00E01210" w:rsidRDefault="006529D5" w:rsidP="00A600A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1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210">
        <w:rPr>
          <w:rFonts w:ascii="Times New Roman" w:hAnsi="Times New Roman" w:cs="Times New Roman"/>
          <w:b/>
          <w:sz w:val="28"/>
          <w:szCs w:val="28"/>
        </w:rPr>
        <w:t>. Материальная помощь к ежегодному оплачиваемому отпуску</w:t>
      </w:r>
    </w:p>
    <w:p w:rsidR="006529D5" w:rsidRPr="00A600A8" w:rsidRDefault="006529D5" w:rsidP="00A600A8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 xml:space="preserve">.1. Работнику, занимающему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обеспечивающую </w:t>
      </w:r>
      <w:r w:rsidRPr="005A088F">
        <w:rPr>
          <w:rFonts w:ascii="Times New Roman" w:hAnsi="Times New Roman" w:cs="Times New Roman"/>
          <w:sz w:val="28"/>
          <w:szCs w:val="28"/>
        </w:rPr>
        <w:t>должность, при предоставлении ежегодного оплачиваемого отпуска или его части выплачивается материальная помощь.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.2. Материальная помощь не зависит от оценки результатов труда работника.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.3. Материальная помощь выплачивается один раз в календарном году на основании личного заявления работника при предоставлении ему ежегодного оплачиваемого отпуска или его части в размере двух должностных окладов за счет фонда оплаты труда, предусмотренного на содержание соответствующего органа местного самоуправления, органа администрации с правами юридического лица.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.4. 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5"/>
      <w:bookmarkEnd w:id="5"/>
      <w:r w:rsidRPr="005A0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08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088F">
        <w:rPr>
          <w:rFonts w:ascii="Times New Roman" w:hAnsi="Times New Roman" w:cs="Times New Roman"/>
          <w:sz w:val="28"/>
          <w:szCs w:val="28"/>
        </w:rPr>
        <w:t xml:space="preserve">. Работнику, поступившему на работу в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 xml:space="preserve">, орган администрации с правами юридического лица после увольнения по основаниям </w:t>
      </w:r>
      <w:hyperlink r:id="rId15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(соглашение сторон), </w:t>
      </w:r>
      <w:hyperlink r:id="rId16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(истечение срока трудового договора (срока полномочий), </w:t>
      </w:r>
      <w:hyperlink r:id="rId17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(по собственному желанию), </w:t>
      </w:r>
      <w:hyperlink r:id="rId18" w:history="1">
        <w:r w:rsidRPr="00E01210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E01210">
        <w:rPr>
          <w:rFonts w:ascii="Times New Roman" w:hAnsi="Times New Roman" w:cs="Times New Roman"/>
          <w:sz w:val="28"/>
          <w:szCs w:val="28"/>
        </w:rPr>
        <w:t xml:space="preserve"> (перевод работника по его просьбе или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 его согласия из другого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135A18">
        <w:rPr>
          <w:rFonts w:ascii="Times New Roman" w:hAnsi="Times New Roman" w:cs="Times New Roman"/>
          <w:sz w:val="28"/>
          <w:szCs w:val="28"/>
        </w:rPr>
        <w:t>1</w:t>
      </w:r>
      <w:r w:rsidRPr="005A088F">
        <w:rPr>
          <w:rFonts w:ascii="Times New Roman" w:hAnsi="Times New Roman" w:cs="Times New Roman"/>
          <w:sz w:val="28"/>
          <w:szCs w:val="28"/>
        </w:rPr>
        <w:t xml:space="preserve"> статьи 77 Трудового кодекса Российской Федерации, материальная помощь выплачивается в полном объеме, если непрерывный суммарный стаж работы на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обеспечивающих должностях</w:t>
      </w:r>
      <w:r w:rsidRPr="005A088F">
        <w:rPr>
          <w:rFonts w:ascii="Times New Roman" w:hAnsi="Times New Roman" w:cs="Times New Roman"/>
          <w:sz w:val="28"/>
          <w:szCs w:val="28"/>
        </w:rPr>
        <w:t xml:space="preserve"> и (или) на должностях муниципальной службы по новому и прежнему месту работы в другом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5A088F">
        <w:rPr>
          <w:rFonts w:ascii="Times New Roman" w:hAnsi="Times New Roman" w:cs="Times New Roman"/>
          <w:sz w:val="28"/>
          <w:szCs w:val="28"/>
        </w:rPr>
        <w:t>, органе администрации с правами юридического лица, составляет не менее одного года, а также при условии, что выплата материальной помощи в текущем календарном году по прежнему месту работы не производилась.</w:t>
      </w:r>
    </w:p>
    <w:p w:rsidR="006529D5" w:rsidRPr="005A088F" w:rsidRDefault="006529D5" w:rsidP="00A600A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8F">
        <w:rPr>
          <w:rFonts w:ascii="Times New Roman" w:hAnsi="Times New Roman" w:cs="Times New Roman"/>
          <w:sz w:val="28"/>
          <w:szCs w:val="28"/>
        </w:rPr>
        <w:t>Факт выплаты (невыплаты) работнику материальной помощи в текущем календарном году по прежнему месту работы подтверждается соответствующей справкой органа, из которого увольняется работник.</w:t>
      </w:r>
    </w:p>
    <w:p w:rsidR="006529D5" w:rsidRDefault="006529D5" w:rsidP="001E16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EE32EC" w:rsidRDefault="006529D5" w:rsidP="00EE32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32EC">
        <w:rPr>
          <w:rFonts w:ascii="Times New Roman" w:hAnsi="Times New Roman" w:cs="Times New Roman"/>
          <w:b/>
          <w:sz w:val="28"/>
          <w:szCs w:val="28"/>
        </w:rPr>
        <w:t>13. Заключительные положения</w:t>
      </w:r>
    </w:p>
    <w:p w:rsidR="006529D5" w:rsidRDefault="006529D5" w:rsidP="00EE32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29D5" w:rsidRPr="00CA19C2" w:rsidRDefault="006529D5" w:rsidP="00EE32EC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A19C2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A19C2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5258F3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Pr="00CA19C2">
        <w:rPr>
          <w:rFonts w:ascii="Times New Roman" w:hAnsi="Times New Roman" w:cs="Times New Roman"/>
          <w:sz w:val="28"/>
          <w:szCs w:val="28"/>
        </w:rPr>
        <w:t xml:space="preserve"> с 01 января 2018г.</w:t>
      </w:r>
    </w:p>
    <w:p w:rsidR="006529D5" w:rsidRDefault="006529D5" w:rsidP="00EE32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29D5" w:rsidRDefault="006529D5" w:rsidP="005A08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1B84" w:rsidRDefault="006529D5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91B84" w:rsidRDefault="00291B84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1B84" w:rsidRDefault="00291B84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1B84" w:rsidRDefault="00291B84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1B84" w:rsidRDefault="00291B84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1B84" w:rsidRDefault="00291B84" w:rsidP="004A34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29D5" w:rsidRPr="00405E0B" w:rsidRDefault="006529D5" w:rsidP="00291B8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529D5" w:rsidRDefault="006529D5" w:rsidP="004A3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>об обеспечивающих должностях</w:t>
      </w:r>
      <w:r w:rsidRPr="00405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529D5" w:rsidRDefault="006529D5" w:rsidP="004A341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05E0B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6529D5" w:rsidRPr="00036896" w:rsidRDefault="006529D5" w:rsidP="004A341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</w:p>
    <w:p w:rsidR="006529D5" w:rsidRPr="00036896" w:rsidRDefault="006529D5" w:rsidP="005A08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D5" w:rsidRPr="00036896" w:rsidRDefault="006529D5" w:rsidP="005A088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238"/>
      <w:bookmarkEnd w:id="6"/>
      <w:r w:rsidRPr="000368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529D5" w:rsidRPr="00036896" w:rsidRDefault="006529D5" w:rsidP="009C73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96">
        <w:rPr>
          <w:rFonts w:ascii="Times New Roman" w:hAnsi="Times New Roman" w:cs="Times New Roman"/>
          <w:b/>
          <w:sz w:val="24"/>
          <w:szCs w:val="24"/>
        </w:rPr>
        <w:t xml:space="preserve">обеспечивающих должностей органов местного самоуправления </w:t>
      </w:r>
    </w:p>
    <w:p w:rsidR="006529D5" w:rsidRDefault="006529D5" w:rsidP="009C73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Люберцы Московской области</w:t>
      </w:r>
    </w:p>
    <w:p w:rsidR="006529D5" w:rsidRPr="00036896" w:rsidRDefault="006529D5" w:rsidP="009C73E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9"/>
        <w:gridCol w:w="7479"/>
        <w:gridCol w:w="1701"/>
      </w:tblGrid>
      <w:tr w:rsidR="006529D5" w:rsidRPr="000848E5" w:rsidTr="00673C90">
        <w:tc>
          <w:tcPr>
            <w:tcW w:w="1169" w:type="dxa"/>
          </w:tcPr>
          <w:p w:rsidR="006529D5" w:rsidRPr="00036896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5A0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</w:tcPr>
          <w:p w:rsidR="006529D5" w:rsidRPr="00036896" w:rsidRDefault="006529D5" w:rsidP="009C7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должностного оклада </w:t>
            </w:r>
          </w:p>
        </w:tc>
      </w:tr>
      <w:tr w:rsidR="006529D5" w:rsidRPr="000848E5" w:rsidTr="002646F6">
        <w:trPr>
          <w:trHeight w:val="486"/>
        </w:trPr>
        <w:tc>
          <w:tcPr>
            <w:tcW w:w="1169" w:type="dxa"/>
            <w:vMerge w:val="restart"/>
            <w:textDirection w:val="btLr"/>
            <w:vAlign w:val="center"/>
          </w:tcPr>
          <w:p w:rsidR="006529D5" w:rsidRPr="00036896" w:rsidRDefault="006529D5" w:rsidP="00673C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группа</w:t>
            </w:r>
          </w:p>
        </w:tc>
        <w:tc>
          <w:tcPr>
            <w:tcW w:w="7479" w:type="dxa"/>
          </w:tcPr>
          <w:p w:rsidR="006529D5" w:rsidRPr="00036896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аналитик 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29D5" w:rsidRPr="000848E5" w:rsidTr="002646F6">
        <w:trPr>
          <w:trHeight w:val="507"/>
        </w:trPr>
        <w:tc>
          <w:tcPr>
            <w:tcW w:w="1169" w:type="dxa"/>
            <w:vMerge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</w:tcPr>
          <w:p w:rsidR="006529D5" w:rsidRPr="00036896" w:rsidRDefault="006529D5" w:rsidP="00B04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529D5" w:rsidRPr="000848E5" w:rsidTr="002646F6">
        <w:trPr>
          <w:trHeight w:val="497"/>
        </w:trPr>
        <w:tc>
          <w:tcPr>
            <w:tcW w:w="1169" w:type="dxa"/>
            <w:vMerge/>
          </w:tcPr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529D5" w:rsidRPr="000848E5" w:rsidTr="00673C90">
        <w:tc>
          <w:tcPr>
            <w:tcW w:w="1169" w:type="dxa"/>
            <w:vMerge w:val="restart"/>
            <w:textDirection w:val="btLr"/>
            <w:vAlign w:val="center"/>
          </w:tcPr>
          <w:p w:rsidR="006529D5" w:rsidRPr="00036896" w:rsidRDefault="006529D5" w:rsidP="00673C9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7479" w:type="dxa"/>
          </w:tcPr>
          <w:p w:rsidR="006529D5" w:rsidRDefault="006529D5" w:rsidP="006019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аналитик </w:t>
            </w:r>
          </w:p>
          <w:p w:rsidR="00415B69" w:rsidRPr="00036896" w:rsidRDefault="00415B69" w:rsidP="00415B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6529D5" w:rsidRPr="00036896" w:rsidRDefault="006529D5" w:rsidP="00601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9D5" w:rsidRPr="000848E5" w:rsidTr="00673C90">
        <w:tc>
          <w:tcPr>
            <w:tcW w:w="1169" w:type="dxa"/>
            <w:vMerge/>
          </w:tcPr>
          <w:p w:rsidR="006529D5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в составе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комитета, 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 службы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29D5" w:rsidRPr="000848E5" w:rsidTr="00673C90">
        <w:tc>
          <w:tcPr>
            <w:tcW w:w="1169" w:type="dxa"/>
            <w:vMerge/>
          </w:tcPr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415B69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службы в сост</w:t>
            </w:r>
            <w:r w:rsidR="00415B69">
              <w:rPr>
                <w:rFonts w:ascii="Times New Roman" w:hAnsi="Times New Roman" w:cs="Times New Roman"/>
                <w:sz w:val="24"/>
                <w:szCs w:val="24"/>
              </w:rPr>
              <w:t>аве управления, комитета, отдела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архитектор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вычислительной технике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защите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землеустройству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эксплуатации и ремонту оборудования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</w:t>
            </w:r>
          </w:p>
          <w:p w:rsidR="006529D5" w:rsidRPr="00036896" w:rsidRDefault="006529D5" w:rsidP="00036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</w:t>
            </w:r>
          </w:p>
        </w:tc>
        <w:tc>
          <w:tcPr>
            <w:tcW w:w="1701" w:type="dxa"/>
          </w:tcPr>
          <w:p w:rsidR="006529D5" w:rsidRPr="00036896" w:rsidRDefault="006529D5" w:rsidP="004731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1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529D5" w:rsidRPr="000848E5" w:rsidTr="002646F6">
        <w:tc>
          <w:tcPr>
            <w:tcW w:w="1169" w:type="dxa"/>
            <w:vMerge w:val="restart"/>
            <w:textDirection w:val="btLr"/>
            <w:vAlign w:val="center"/>
          </w:tcPr>
          <w:p w:rsidR="006529D5" w:rsidRDefault="006529D5" w:rsidP="002646F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7479" w:type="dxa"/>
          </w:tcPr>
          <w:p w:rsidR="006529D5" w:rsidRPr="00036896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вычислительной технике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защите информации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землеустройству </w:t>
            </w:r>
          </w:p>
          <w:p w:rsidR="006529D5" w:rsidRDefault="006529D5" w:rsidP="00673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ремонту оборудования</w:t>
            </w:r>
          </w:p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701" w:type="dxa"/>
          </w:tcPr>
          <w:p w:rsidR="006529D5" w:rsidRPr="00036896" w:rsidRDefault="006529D5" w:rsidP="00B04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9D5" w:rsidRPr="000848E5" w:rsidTr="00673C90">
        <w:tc>
          <w:tcPr>
            <w:tcW w:w="1169" w:type="dxa"/>
            <w:vMerge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6529D5" w:rsidRPr="00036896" w:rsidRDefault="006529D5" w:rsidP="00754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701" w:type="dxa"/>
          </w:tcPr>
          <w:p w:rsidR="006529D5" w:rsidRPr="00036896" w:rsidRDefault="006529D5" w:rsidP="00B04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6529D5" w:rsidRPr="005A088F" w:rsidRDefault="006529D5" w:rsidP="00291B84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6529D5" w:rsidRPr="005A088F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24"/>
    <w:rsid w:val="00010914"/>
    <w:rsid w:val="000151B8"/>
    <w:rsid w:val="00036896"/>
    <w:rsid w:val="000848E5"/>
    <w:rsid w:val="000A3C8B"/>
    <w:rsid w:val="000A4929"/>
    <w:rsid w:val="000A4D83"/>
    <w:rsid w:val="000B4564"/>
    <w:rsid w:val="000D0216"/>
    <w:rsid w:val="00135A18"/>
    <w:rsid w:val="00136DA3"/>
    <w:rsid w:val="00152092"/>
    <w:rsid w:val="0016063E"/>
    <w:rsid w:val="00166E8A"/>
    <w:rsid w:val="00172368"/>
    <w:rsid w:val="0018176B"/>
    <w:rsid w:val="00185C7D"/>
    <w:rsid w:val="001A4FF1"/>
    <w:rsid w:val="001A67FD"/>
    <w:rsid w:val="001C17A4"/>
    <w:rsid w:val="001C2AA0"/>
    <w:rsid w:val="001E16A7"/>
    <w:rsid w:val="001E627C"/>
    <w:rsid w:val="001F4B03"/>
    <w:rsid w:val="00221E71"/>
    <w:rsid w:val="00245B27"/>
    <w:rsid w:val="00254DCB"/>
    <w:rsid w:val="002646F6"/>
    <w:rsid w:val="00280E6A"/>
    <w:rsid w:val="00291B84"/>
    <w:rsid w:val="00292B71"/>
    <w:rsid w:val="002A654F"/>
    <w:rsid w:val="002C1F70"/>
    <w:rsid w:val="002E55FC"/>
    <w:rsid w:val="002E6258"/>
    <w:rsid w:val="002F7186"/>
    <w:rsid w:val="00307A3E"/>
    <w:rsid w:val="003110A7"/>
    <w:rsid w:val="00321322"/>
    <w:rsid w:val="003765E8"/>
    <w:rsid w:val="0037761E"/>
    <w:rsid w:val="00405E0B"/>
    <w:rsid w:val="00415B69"/>
    <w:rsid w:val="004253AF"/>
    <w:rsid w:val="00427B92"/>
    <w:rsid w:val="00454808"/>
    <w:rsid w:val="00471F35"/>
    <w:rsid w:val="0047314C"/>
    <w:rsid w:val="004879A7"/>
    <w:rsid w:val="004A341C"/>
    <w:rsid w:val="004A5A0A"/>
    <w:rsid w:val="004E4ED1"/>
    <w:rsid w:val="00502CEE"/>
    <w:rsid w:val="00516C8A"/>
    <w:rsid w:val="005258F3"/>
    <w:rsid w:val="00526842"/>
    <w:rsid w:val="00544599"/>
    <w:rsid w:val="005472AB"/>
    <w:rsid w:val="0055075E"/>
    <w:rsid w:val="005A088F"/>
    <w:rsid w:val="005A0AF8"/>
    <w:rsid w:val="005B554F"/>
    <w:rsid w:val="00601986"/>
    <w:rsid w:val="0060483C"/>
    <w:rsid w:val="00616601"/>
    <w:rsid w:val="00626F28"/>
    <w:rsid w:val="00633F00"/>
    <w:rsid w:val="006529D5"/>
    <w:rsid w:val="00652DF6"/>
    <w:rsid w:val="00673C90"/>
    <w:rsid w:val="00687678"/>
    <w:rsid w:val="006A3994"/>
    <w:rsid w:val="006D4DB2"/>
    <w:rsid w:val="00724D78"/>
    <w:rsid w:val="00730480"/>
    <w:rsid w:val="00736725"/>
    <w:rsid w:val="00736BAB"/>
    <w:rsid w:val="00754121"/>
    <w:rsid w:val="00762E00"/>
    <w:rsid w:val="007C5459"/>
    <w:rsid w:val="007C706A"/>
    <w:rsid w:val="007E0232"/>
    <w:rsid w:val="007E1C72"/>
    <w:rsid w:val="007F1005"/>
    <w:rsid w:val="00837609"/>
    <w:rsid w:val="008626D9"/>
    <w:rsid w:val="00871FF8"/>
    <w:rsid w:val="00874226"/>
    <w:rsid w:val="00881E5D"/>
    <w:rsid w:val="00882BBB"/>
    <w:rsid w:val="008A443F"/>
    <w:rsid w:val="008A6011"/>
    <w:rsid w:val="008A6AD8"/>
    <w:rsid w:val="008B24D7"/>
    <w:rsid w:val="008B78F0"/>
    <w:rsid w:val="008C5636"/>
    <w:rsid w:val="008C7CCB"/>
    <w:rsid w:val="008E0E2F"/>
    <w:rsid w:val="008E6FC8"/>
    <w:rsid w:val="0095182D"/>
    <w:rsid w:val="00960952"/>
    <w:rsid w:val="00963785"/>
    <w:rsid w:val="009637E3"/>
    <w:rsid w:val="009A2727"/>
    <w:rsid w:val="009A45EF"/>
    <w:rsid w:val="009A5B7C"/>
    <w:rsid w:val="009B6FD9"/>
    <w:rsid w:val="009C73E0"/>
    <w:rsid w:val="009E1B43"/>
    <w:rsid w:val="00A01953"/>
    <w:rsid w:val="00A32252"/>
    <w:rsid w:val="00A56B1D"/>
    <w:rsid w:val="00A600A8"/>
    <w:rsid w:val="00A72D99"/>
    <w:rsid w:val="00A84FE4"/>
    <w:rsid w:val="00A85626"/>
    <w:rsid w:val="00A97097"/>
    <w:rsid w:val="00AA3B55"/>
    <w:rsid w:val="00AA6671"/>
    <w:rsid w:val="00AC3C72"/>
    <w:rsid w:val="00AC4786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1DBB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C07FA3"/>
    <w:rsid w:val="00C23058"/>
    <w:rsid w:val="00C35DC9"/>
    <w:rsid w:val="00C51D57"/>
    <w:rsid w:val="00C71C5C"/>
    <w:rsid w:val="00C81841"/>
    <w:rsid w:val="00C93234"/>
    <w:rsid w:val="00CA19C2"/>
    <w:rsid w:val="00CB4679"/>
    <w:rsid w:val="00CC5CED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928AF"/>
    <w:rsid w:val="00DB0FA9"/>
    <w:rsid w:val="00DB3EDF"/>
    <w:rsid w:val="00DD1DC6"/>
    <w:rsid w:val="00E01210"/>
    <w:rsid w:val="00E01320"/>
    <w:rsid w:val="00E14950"/>
    <w:rsid w:val="00E3660A"/>
    <w:rsid w:val="00E652F2"/>
    <w:rsid w:val="00E82CF0"/>
    <w:rsid w:val="00E83C8D"/>
    <w:rsid w:val="00E87829"/>
    <w:rsid w:val="00EA3DB4"/>
    <w:rsid w:val="00EC65AD"/>
    <w:rsid w:val="00ED1B4C"/>
    <w:rsid w:val="00ED7CE6"/>
    <w:rsid w:val="00EE32EC"/>
    <w:rsid w:val="00F1381B"/>
    <w:rsid w:val="00F21EB5"/>
    <w:rsid w:val="00F6344F"/>
    <w:rsid w:val="00F91B77"/>
    <w:rsid w:val="00F978B6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3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730480"/>
    <w:rPr>
      <w:rFonts w:ascii="Segoe UI" w:hAnsi="Segoe UI" w:cs="Times New Roman"/>
      <w:sz w:val="18"/>
    </w:rPr>
  </w:style>
  <w:style w:type="paragraph" w:styleId="a5">
    <w:name w:val="Normal (Web)"/>
    <w:basedOn w:val="a"/>
    <w:uiPriority w:val="99"/>
    <w:unhideWhenUsed/>
    <w:rsid w:val="00B61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61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3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730480"/>
    <w:rPr>
      <w:rFonts w:ascii="Segoe UI" w:hAnsi="Segoe UI" w:cs="Times New Roman"/>
      <w:sz w:val="18"/>
    </w:rPr>
  </w:style>
  <w:style w:type="paragraph" w:styleId="a5">
    <w:name w:val="Normal (Web)"/>
    <w:basedOn w:val="a"/>
    <w:uiPriority w:val="99"/>
    <w:unhideWhenUsed/>
    <w:rsid w:val="00B61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61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7AF6F2B0BA4671870F3F95B5DxCZ7H" TargetMode="External"/><Relationship Id="rId13" Type="http://schemas.openxmlformats.org/officeDocument/2006/relationships/hyperlink" Target="consultantplus://offline/ref=917A3B237208E859DCDB40979F1C70999C84B8A7E64C6E79773F30D07C4D8033F21999C39F33gF7DG" TargetMode="External"/><Relationship Id="rId18" Type="http://schemas.openxmlformats.org/officeDocument/2006/relationships/hyperlink" Target="consultantplus://offline/ref=917A3B237208E859DCDB40979F1C70999C84B8A6EF426E79773F30D07C4D8033F21999C397g37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E6C57D808F45E955B7AB0031B6251134AD662700A4671870F3F95B5DxCZ7H" TargetMode="External"/><Relationship Id="rId12" Type="http://schemas.openxmlformats.org/officeDocument/2006/relationships/hyperlink" Target="consultantplus://offline/ref=917A3B237208E859DCDB41998A1C70999F8CB2A4E4426E79773F30D07Cg47DG" TargetMode="External"/><Relationship Id="rId17" Type="http://schemas.openxmlformats.org/officeDocument/2006/relationships/hyperlink" Target="consultantplus://offline/ref=917A3B237208E859DCDB40979F1C70999C84B8A6EF426E79773F30D07C4D8033F21999C398g37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7A3B237208E859DCDB40979F1C70999C84B8A6EF426E79773F30D07C4D8033F21999C398g37A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A0E24B6251134AF6A2A0CAC671870F3F95B5DC7630A2F46A6D03C241E1Fx4Z2H" TargetMode="External"/><Relationship Id="rId11" Type="http://schemas.openxmlformats.org/officeDocument/2006/relationships/hyperlink" Target="consultantplus://offline/ref=917A3B237208E859DCDB40979F1C70999C88BEA1E5426E79773F30D07Cg47D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17A3B237208E859DCDB40979F1C70999C84B8A6EF426E79773F30D07C4D8033F21999C398g375G" TargetMode="External"/><Relationship Id="rId10" Type="http://schemas.openxmlformats.org/officeDocument/2006/relationships/hyperlink" Target="consultantplus://offline/ref=917A3B237208E859DCDB40979F1C70999C84B8A1E0476E79773F30D07Cg47D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7A3B237208E859DCDB40979F1C70999C84B8A6EF426E79773F30D07Cg47DG" TargetMode="External"/><Relationship Id="rId14" Type="http://schemas.openxmlformats.org/officeDocument/2006/relationships/hyperlink" Target="consultantplus://offline/ref=917A3B237208E859DCDB40979F1C70999C84B8A7E64C6E79773F30D07C4D8033F21999C39F33gF7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Ирина Валерьевна</dc:creator>
  <cp:keywords/>
  <dc:description/>
  <cp:lastModifiedBy>Василий</cp:lastModifiedBy>
  <cp:revision>3</cp:revision>
  <cp:lastPrinted>2018-12-03T11:24:00Z</cp:lastPrinted>
  <dcterms:created xsi:type="dcterms:W3CDTF">2018-12-21T07:43:00Z</dcterms:created>
  <dcterms:modified xsi:type="dcterms:W3CDTF">2018-12-29T18:15:00Z</dcterms:modified>
</cp:coreProperties>
</file>